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3504A" w14:textId="77777777" w:rsidR="00E72EF5" w:rsidRPr="00A82A39" w:rsidRDefault="00E72EF5" w:rsidP="00F712CA">
      <w:pPr>
        <w:jc w:val="both"/>
        <w:rPr>
          <w:rFonts w:ascii="Times New Roman" w:hAnsi="Times New Roman" w:cs="Times New Roman"/>
          <w:b/>
          <w:color w:val="000090"/>
          <w:sz w:val="28"/>
          <w:szCs w:val="24"/>
        </w:rPr>
      </w:pPr>
      <w:r w:rsidRPr="00A82A39">
        <w:rPr>
          <w:rFonts w:ascii="Times New Roman" w:hAnsi="Times New Roman" w:cs="Times New Roman"/>
          <w:b/>
          <w:color w:val="000090"/>
          <w:sz w:val="28"/>
          <w:szCs w:val="24"/>
        </w:rPr>
        <w:t>Solving the Information Technology Energy Challenge Beyond Moore’s Law</w:t>
      </w:r>
    </w:p>
    <w:p w14:paraId="248C0EE3" w14:textId="3D93A119" w:rsidR="00E72EF5" w:rsidRPr="00282F09" w:rsidRDefault="00F43121" w:rsidP="00F712CA">
      <w:pPr>
        <w:spacing w:after="120" w:line="240" w:lineRule="auto"/>
        <w:jc w:val="both"/>
        <w:rPr>
          <w:rFonts w:ascii="Times New Roman" w:hAnsi="Times New Roman" w:cs="Times New Roman"/>
          <w:sz w:val="20"/>
          <w:szCs w:val="20"/>
        </w:rPr>
      </w:pPr>
      <w:r w:rsidRPr="00282F09">
        <w:rPr>
          <w:noProof/>
          <w:sz w:val="20"/>
          <w:szCs w:val="20"/>
        </w:rPr>
        <mc:AlternateContent>
          <mc:Choice Requires="wps">
            <w:drawing>
              <wp:anchor distT="0" distB="0" distL="114300" distR="114300" simplePos="0" relativeHeight="251662336" behindDoc="0" locked="0" layoutInCell="1" allowOverlap="1" wp14:anchorId="2FC06DE8" wp14:editId="64534007">
                <wp:simplePos x="0" y="0"/>
                <wp:positionH relativeFrom="column">
                  <wp:posOffset>5000625</wp:posOffset>
                </wp:positionH>
                <wp:positionV relativeFrom="paragraph">
                  <wp:posOffset>889000</wp:posOffset>
                </wp:positionV>
                <wp:extent cx="10477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57225"/>
                        </a:xfrm>
                        <a:prstGeom prst="rect">
                          <a:avLst/>
                        </a:prstGeom>
                        <a:noFill/>
                        <a:ln w="9525">
                          <a:noFill/>
                          <a:miter lim="800000"/>
                          <a:headEnd/>
                          <a:tailEnd/>
                        </a:ln>
                      </wps:spPr>
                      <wps:txbx>
                        <w:txbxContent>
                          <w:p w14:paraId="2E1DB36E" w14:textId="4FF31437" w:rsidR="004E5909" w:rsidRPr="00F43121" w:rsidRDefault="0069621B" w:rsidP="00F43121">
                            <w:pPr>
                              <w:rPr>
                                <w:sz w:val="14"/>
                              </w:rPr>
                            </w:pPr>
                            <w:hyperlink r:id="rId9" w:history="1">
                              <w:r w:rsidR="004E5909" w:rsidRPr="00EA44BC">
                                <w:rPr>
                                  <w:rStyle w:val="Hyperlink"/>
                                  <w:sz w:val="14"/>
                                </w:rPr>
                                <w:t>www.alliancetrustinvestments.com/sri-hub/posts/Energy-efficient-data-centres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3.75pt;margin-top:70pt;width: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" filled="f" stroked="f">
                <v:textbox>
                  <w:txbxContent>
                    <w:p w14:paraId="2E1DB36E" w14:textId="4FF31437" w:rsidR="004E5909" w:rsidRPr="00F43121" w:rsidRDefault="0069621B" w:rsidP="00F43121">
                      <w:pPr>
                        <w:rPr>
                          <w:sz w:val="14"/>
                        </w:rPr>
                      </w:pPr>
                      <w:hyperlink r:id="rId10" w:history="1">
                        <w:r w:rsidR="004E5909" w:rsidRPr="00EA44BC">
                          <w:rPr>
                            <w:rStyle w:val="Hyperlink"/>
                            <w:sz w:val="14"/>
                          </w:rPr>
                          <w:t>www.alliancetrustinvestments.com/sri-hub/posts/Energy-efficient-data-centres</w:t>
                        </w:r>
                      </w:hyperlink>
                    </w:p>
                  </w:txbxContent>
                </v:textbox>
              </v:shape>
            </w:pict>
          </mc:Fallback>
        </mc:AlternateContent>
      </w:r>
      <w:r w:rsidRPr="00282F09">
        <w:rPr>
          <w:noProof/>
          <w:sz w:val="20"/>
          <w:szCs w:val="20"/>
        </w:rPr>
        <w:drawing>
          <wp:anchor distT="0" distB="0" distL="114300" distR="114300" simplePos="0" relativeHeight="251660288" behindDoc="0" locked="0" layoutInCell="1" allowOverlap="1" wp14:anchorId="5AB7715B" wp14:editId="747BEF56">
            <wp:simplePos x="0" y="0"/>
            <wp:positionH relativeFrom="column">
              <wp:posOffset>3219450</wp:posOffset>
            </wp:positionH>
            <wp:positionV relativeFrom="paragraph">
              <wp:posOffset>948055</wp:posOffset>
            </wp:positionV>
            <wp:extent cx="1857375" cy="1176010"/>
            <wp:effectExtent l="0" t="0" r="0" b="5715"/>
            <wp:wrapNone/>
            <wp:docPr id="2" name="Picture 2" descr="Projection of Datacentre Electricity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ion of Datacentre Electricity 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17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F09">
        <w:rPr>
          <w:noProof/>
          <w:sz w:val="20"/>
          <w:szCs w:val="20"/>
        </w:rPr>
        <w:drawing>
          <wp:anchor distT="640080" distB="0" distL="114300" distR="114300" simplePos="0" relativeHeight="251659264" behindDoc="0" locked="0" layoutInCell="1" allowOverlap="1" wp14:anchorId="754CE076" wp14:editId="5839403B">
            <wp:simplePos x="0" y="0"/>
            <wp:positionH relativeFrom="column">
              <wp:posOffset>3086100</wp:posOffset>
            </wp:positionH>
            <wp:positionV relativeFrom="paragraph">
              <wp:posOffset>1546225</wp:posOffset>
            </wp:positionV>
            <wp:extent cx="2825115" cy="1600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72EF5" w:rsidRPr="00282F09">
        <w:rPr>
          <w:rFonts w:ascii="Times New Roman" w:hAnsi="Times New Roman" w:cs="Times New Roman"/>
          <w:sz w:val="20"/>
          <w:szCs w:val="20"/>
        </w:rPr>
        <w:t xml:space="preserve">Despite ever improving computing efficiency, information technology </w:t>
      </w:r>
      <w:r w:rsidR="006C0621" w:rsidRPr="00282F09">
        <w:rPr>
          <w:rFonts w:ascii="Times New Roman" w:hAnsi="Times New Roman" w:cs="Times New Roman"/>
          <w:sz w:val="20"/>
          <w:szCs w:val="20"/>
        </w:rPr>
        <w:t xml:space="preserve">(IT) </w:t>
      </w:r>
      <w:r w:rsidR="00E72EF5" w:rsidRPr="00282F09">
        <w:rPr>
          <w:rFonts w:ascii="Times New Roman" w:hAnsi="Times New Roman" w:cs="Times New Roman"/>
          <w:sz w:val="20"/>
          <w:szCs w:val="20"/>
        </w:rPr>
        <w:t>still represents the fastest growing consumer of energy. Uncontrolled, this demand would have significant implications on the U.S. energy landscape. In parallel we are facing a possible end to Moore’s Law in the coming decade</w:t>
      </w:r>
      <w:r w:rsidR="009D25B0" w:rsidRPr="00282F09">
        <w:rPr>
          <w:rFonts w:ascii="Times New Roman" w:hAnsi="Times New Roman" w:cs="Times New Roman"/>
          <w:sz w:val="20"/>
          <w:szCs w:val="20"/>
        </w:rPr>
        <w:t>,</w:t>
      </w:r>
      <w:r w:rsidR="00E72EF5" w:rsidRPr="00282F09">
        <w:rPr>
          <w:rFonts w:ascii="Times New Roman" w:hAnsi="Times New Roman" w:cs="Times New Roman"/>
          <w:sz w:val="20"/>
          <w:szCs w:val="20"/>
        </w:rPr>
        <w:t xml:space="preserve"> which would either greatly accelerate the energy problem or significantly restrict U.S. computing growth severely threatening the nation’s ability to solve important problems in science and national security. Semiconductor technology clearly has an essential role to play in future energy and technology security. In one example of projected IT energy growth: Cisco r</w:t>
      </w:r>
      <w:r w:rsidRPr="00282F09">
        <w:rPr>
          <w:rFonts w:ascii="Times New Roman" w:hAnsi="Times New Roman" w:cs="Times New Roman"/>
          <w:sz w:val="20"/>
          <w:szCs w:val="20"/>
        </w:rPr>
        <w:t xml:space="preserve">eports (Cisco Global Cloud Index, 2013–2018) </w:t>
      </w:r>
      <w:r w:rsidR="00E72EF5" w:rsidRPr="00282F09">
        <w:rPr>
          <w:rFonts w:ascii="Times New Roman" w:hAnsi="Times New Roman" w:cs="Times New Roman"/>
          <w:sz w:val="20"/>
          <w:szCs w:val="20"/>
        </w:rPr>
        <w:t xml:space="preserve">that data center traffic (a useful metric for energy demand) is projected to grow at a compound annual rate (CAGR) of 23% from 2013-18. With no improvement in computing efficiency (i.e., the end of Moore’s Law), one would expect this growth to be directly reflected in increased energy demand going from 91 billion kilowatt-hours in 2013 to 252 billion kilowatt-hours in 2018. Just meeting this increased demand alone would require 60 new 500-megawatt power plants, and will likely be exacerbated by the end of conventional Moore’s Law technology scaling in the next decade.  </w:t>
      </w:r>
    </w:p>
    <w:p w14:paraId="2C23D270" w14:textId="5EED77CD" w:rsidR="00E72EF5" w:rsidRPr="00282F09" w:rsidRDefault="00E72EF5" w:rsidP="00F712CA">
      <w:pPr>
        <w:spacing w:after="120" w:line="240" w:lineRule="auto"/>
        <w:jc w:val="both"/>
        <w:rPr>
          <w:rFonts w:ascii="Times New Roman" w:hAnsi="Times New Roman" w:cs="Times New Roman"/>
          <w:sz w:val="20"/>
          <w:szCs w:val="20"/>
        </w:rPr>
      </w:pPr>
      <w:r w:rsidRPr="00282F09">
        <w:rPr>
          <w:rFonts w:ascii="Times New Roman" w:hAnsi="Times New Roman" w:cs="Times New Roman"/>
          <w:sz w:val="20"/>
          <w:szCs w:val="20"/>
        </w:rPr>
        <w:t xml:space="preserve">DOE has a </w:t>
      </w:r>
      <w:r w:rsidRPr="00282F09">
        <w:rPr>
          <w:rFonts w:ascii="Times New Roman" w:hAnsi="Times New Roman" w:cs="Times New Roman"/>
          <w:b/>
          <w:sz w:val="20"/>
          <w:szCs w:val="20"/>
        </w:rPr>
        <w:t>unique</w:t>
      </w:r>
      <w:r w:rsidRPr="00282F09">
        <w:rPr>
          <w:rFonts w:ascii="Times New Roman" w:hAnsi="Times New Roman" w:cs="Times New Roman"/>
          <w:sz w:val="20"/>
          <w:szCs w:val="20"/>
        </w:rPr>
        <w:t xml:space="preserve"> </w:t>
      </w:r>
      <w:r w:rsidRPr="00282F09">
        <w:rPr>
          <w:rFonts w:ascii="Times New Roman" w:hAnsi="Times New Roman" w:cs="Times New Roman"/>
          <w:b/>
          <w:bCs/>
          <w:sz w:val="20"/>
          <w:szCs w:val="20"/>
        </w:rPr>
        <w:t>opportunity</w:t>
      </w:r>
      <w:r w:rsidRPr="00282F09">
        <w:rPr>
          <w:rFonts w:ascii="Times New Roman" w:hAnsi="Times New Roman" w:cs="Times New Roman"/>
          <w:sz w:val="20"/>
          <w:szCs w:val="20"/>
        </w:rPr>
        <w:t xml:space="preserve"> to create a new Public-Private partnership </w:t>
      </w:r>
      <w:r w:rsidR="00FF3953" w:rsidRPr="00282F09">
        <w:rPr>
          <w:rFonts w:ascii="Times New Roman" w:hAnsi="Times New Roman" w:cs="Times New Roman"/>
          <w:sz w:val="20"/>
          <w:szCs w:val="20"/>
        </w:rPr>
        <w:t>for</w:t>
      </w:r>
      <w:r w:rsidR="0014168B" w:rsidRPr="00282F09">
        <w:rPr>
          <w:rFonts w:ascii="Times New Roman" w:hAnsi="Times New Roman" w:cs="Times New Roman"/>
          <w:sz w:val="20"/>
          <w:szCs w:val="20"/>
        </w:rPr>
        <w:t xml:space="preserve"> </w:t>
      </w:r>
      <w:r w:rsidR="00631846" w:rsidRPr="00282F09">
        <w:rPr>
          <w:rFonts w:ascii="Times New Roman" w:hAnsi="Times New Roman" w:cs="Times New Roman"/>
          <w:sz w:val="20"/>
          <w:szCs w:val="20"/>
        </w:rPr>
        <w:t xml:space="preserve">translational </w:t>
      </w:r>
      <w:r w:rsidR="0014168B" w:rsidRPr="00282F09">
        <w:rPr>
          <w:rFonts w:ascii="Times New Roman" w:hAnsi="Times New Roman" w:cs="Times New Roman"/>
          <w:sz w:val="20"/>
          <w:szCs w:val="20"/>
        </w:rPr>
        <w:t>basic</w:t>
      </w:r>
      <w:r w:rsidR="00275AF7" w:rsidRPr="00282F09">
        <w:rPr>
          <w:rFonts w:ascii="Times New Roman" w:hAnsi="Times New Roman" w:cs="Times New Roman"/>
          <w:sz w:val="20"/>
          <w:szCs w:val="20"/>
        </w:rPr>
        <w:t>/applied</w:t>
      </w:r>
      <w:r w:rsidR="0014168B" w:rsidRPr="00282F09">
        <w:rPr>
          <w:rFonts w:ascii="Times New Roman" w:hAnsi="Times New Roman" w:cs="Times New Roman"/>
          <w:sz w:val="20"/>
          <w:szCs w:val="20"/>
        </w:rPr>
        <w:t xml:space="preserve"> research to accelerate the development of energy efficient</w:t>
      </w:r>
      <w:r w:rsidRPr="00282F09">
        <w:rPr>
          <w:rFonts w:ascii="Times New Roman" w:hAnsi="Times New Roman" w:cs="Times New Roman"/>
          <w:sz w:val="20"/>
          <w:szCs w:val="20"/>
        </w:rPr>
        <w:t xml:space="preserve"> </w:t>
      </w:r>
      <w:r w:rsidR="006C0621" w:rsidRPr="00282F09">
        <w:rPr>
          <w:rFonts w:ascii="Times New Roman" w:hAnsi="Times New Roman" w:cs="Times New Roman"/>
          <w:sz w:val="20"/>
          <w:szCs w:val="20"/>
        </w:rPr>
        <w:t>IT</w:t>
      </w:r>
      <w:r w:rsidR="00A632D7" w:rsidRPr="00282F09">
        <w:rPr>
          <w:rFonts w:ascii="Times New Roman" w:hAnsi="Times New Roman" w:cs="Times New Roman"/>
          <w:sz w:val="20"/>
          <w:szCs w:val="20"/>
        </w:rPr>
        <w:t xml:space="preserve"> beyond the end of current roadmaps</w:t>
      </w:r>
      <w:r w:rsidRPr="00282F09">
        <w:rPr>
          <w:rFonts w:ascii="Times New Roman" w:hAnsi="Times New Roman" w:cs="Times New Roman"/>
          <w:sz w:val="20"/>
          <w:szCs w:val="20"/>
        </w:rPr>
        <w:t xml:space="preserve"> as well as maintaining an advanced </w:t>
      </w:r>
      <w:r w:rsidR="00631846" w:rsidRPr="00282F09">
        <w:rPr>
          <w:rFonts w:ascii="Times New Roman" w:hAnsi="Times New Roman" w:cs="Times New Roman"/>
          <w:sz w:val="20"/>
          <w:szCs w:val="20"/>
        </w:rPr>
        <w:t xml:space="preserve">U.S. </w:t>
      </w:r>
      <w:r w:rsidRPr="00282F09">
        <w:rPr>
          <w:rFonts w:ascii="Times New Roman" w:hAnsi="Times New Roman" w:cs="Times New Roman"/>
          <w:sz w:val="20"/>
          <w:szCs w:val="20"/>
        </w:rPr>
        <w:t xml:space="preserve">manufacturing base in the economically critical semiconductor space. This partnership will allow DOE to leverage significant industry investments </w:t>
      </w:r>
      <w:r w:rsidR="00A632D7" w:rsidRPr="00282F09">
        <w:rPr>
          <w:rFonts w:ascii="Times New Roman" w:hAnsi="Times New Roman" w:cs="Times New Roman"/>
          <w:sz w:val="20"/>
          <w:szCs w:val="20"/>
        </w:rPr>
        <w:t>with the goal of enabling low-power</w:t>
      </w:r>
      <w:r w:rsidRPr="00282F09">
        <w:rPr>
          <w:rFonts w:ascii="Times New Roman" w:hAnsi="Times New Roman" w:cs="Times New Roman"/>
          <w:sz w:val="20"/>
          <w:szCs w:val="20"/>
        </w:rPr>
        <w:t xml:space="preserve"> computing </w:t>
      </w:r>
      <w:r w:rsidR="00631846" w:rsidRPr="00282F09">
        <w:rPr>
          <w:rFonts w:ascii="Times New Roman" w:hAnsi="Times New Roman" w:cs="Times New Roman"/>
          <w:sz w:val="20"/>
          <w:szCs w:val="20"/>
        </w:rPr>
        <w:t>impacting HPC, and broadly the Internet of Things</w:t>
      </w:r>
      <w:r w:rsidRPr="00282F09">
        <w:rPr>
          <w:rFonts w:ascii="Times New Roman" w:hAnsi="Times New Roman" w:cs="Times New Roman"/>
          <w:sz w:val="20"/>
          <w:szCs w:val="20"/>
        </w:rPr>
        <w:t>.</w:t>
      </w:r>
      <w:r w:rsidRPr="00282F09">
        <w:rPr>
          <w:noProof/>
          <w:sz w:val="20"/>
          <w:szCs w:val="20"/>
        </w:rPr>
        <w:t xml:space="preserve">  </w:t>
      </w:r>
    </w:p>
    <w:p w14:paraId="10120303" w14:textId="59A91991" w:rsidR="002D3BA6" w:rsidRPr="00282F09" w:rsidRDefault="000746E8" w:rsidP="00F712CA">
      <w:pPr>
        <w:spacing w:after="120" w:line="240" w:lineRule="auto"/>
        <w:jc w:val="both"/>
        <w:rPr>
          <w:rFonts w:ascii="Times New Roman" w:hAnsi="Times New Roman" w:cs="Times New Roman"/>
          <w:sz w:val="20"/>
          <w:szCs w:val="20"/>
        </w:rPr>
      </w:pPr>
      <w:r w:rsidRPr="00282F09">
        <w:rPr>
          <w:rFonts w:ascii="Times New Roman" w:hAnsi="Times New Roman" w:cs="Times New Roman"/>
          <w:sz w:val="20"/>
          <w:szCs w:val="20"/>
        </w:rPr>
        <w:t xml:space="preserve">To </w:t>
      </w:r>
      <w:r w:rsidR="0054353E" w:rsidRPr="00282F09">
        <w:rPr>
          <w:rFonts w:ascii="Times New Roman" w:hAnsi="Times New Roman" w:cs="Times New Roman"/>
          <w:sz w:val="20"/>
          <w:szCs w:val="20"/>
        </w:rPr>
        <w:t xml:space="preserve">address this daunting problem both in </w:t>
      </w:r>
      <w:r w:rsidRPr="00282F09">
        <w:rPr>
          <w:rFonts w:ascii="Times New Roman" w:hAnsi="Times New Roman" w:cs="Times New Roman"/>
          <w:sz w:val="20"/>
          <w:szCs w:val="20"/>
        </w:rPr>
        <w:t>the intermediate and long term</w:t>
      </w:r>
      <w:r w:rsidR="0054353E" w:rsidRPr="00282F09">
        <w:rPr>
          <w:rFonts w:ascii="Times New Roman" w:hAnsi="Times New Roman" w:cs="Times New Roman"/>
          <w:sz w:val="20"/>
          <w:szCs w:val="20"/>
        </w:rPr>
        <w:t xml:space="preserve">s, a </w:t>
      </w:r>
      <w:r w:rsidR="00CA032C" w:rsidRPr="00282F09">
        <w:rPr>
          <w:rFonts w:ascii="Times New Roman" w:hAnsi="Times New Roman" w:cs="Times New Roman"/>
          <w:sz w:val="20"/>
          <w:szCs w:val="20"/>
        </w:rPr>
        <w:t>two-</w:t>
      </w:r>
      <w:r w:rsidR="0054353E" w:rsidRPr="00282F09">
        <w:rPr>
          <w:rFonts w:ascii="Times New Roman" w:hAnsi="Times New Roman" w:cs="Times New Roman"/>
          <w:sz w:val="20"/>
          <w:szCs w:val="20"/>
        </w:rPr>
        <w:t xml:space="preserve">pronged approach is required: </w:t>
      </w:r>
      <w:r w:rsidR="00CA032C" w:rsidRPr="00282F09">
        <w:rPr>
          <w:rFonts w:ascii="Times New Roman" w:hAnsi="Times New Roman" w:cs="Times New Roman"/>
          <w:sz w:val="20"/>
          <w:szCs w:val="20"/>
        </w:rPr>
        <w:t>r</w:t>
      </w:r>
      <w:r w:rsidR="0054353E" w:rsidRPr="00282F09">
        <w:rPr>
          <w:rFonts w:ascii="Times New Roman" w:hAnsi="Times New Roman" w:cs="Times New Roman"/>
          <w:sz w:val="20"/>
          <w:szCs w:val="20"/>
        </w:rPr>
        <w:t xml:space="preserve">evolutionary for the </w:t>
      </w:r>
      <w:r w:rsidR="00CA032C" w:rsidRPr="00282F09">
        <w:rPr>
          <w:rFonts w:ascii="Times New Roman" w:hAnsi="Times New Roman" w:cs="Times New Roman"/>
          <w:sz w:val="20"/>
          <w:szCs w:val="20"/>
        </w:rPr>
        <w:t xml:space="preserve">long (10-20 year) term and </w:t>
      </w:r>
      <w:r w:rsidR="0054353E" w:rsidRPr="00282F09">
        <w:rPr>
          <w:rFonts w:ascii="Times New Roman" w:hAnsi="Times New Roman" w:cs="Times New Roman"/>
          <w:sz w:val="20"/>
          <w:szCs w:val="20"/>
        </w:rPr>
        <w:t xml:space="preserve">evolutionary for the </w:t>
      </w:r>
      <w:r w:rsidR="00CA032C" w:rsidRPr="00282F09">
        <w:rPr>
          <w:rFonts w:ascii="Times New Roman" w:hAnsi="Times New Roman" w:cs="Times New Roman"/>
          <w:sz w:val="20"/>
          <w:szCs w:val="20"/>
        </w:rPr>
        <w:t>intermediate (10 year)</w:t>
      </w:r>
      <w:r w:rsidR="0054353E" w:rsidRPr="00282F09">
        <w:rPr>
          <w:rFonts w:ascii="Times New Roman" w:hAnsi="Times New Roman" w:cs="Times New Roman"/>
          <w:sz w:val="20"/>
          <w:szCs w:val="20"/>
        </w:rPr>
        <w:t xml:space="preserve"> term. </w:t>
      </w:r>
      <w:r w:rsidR="009C4B16" w:rsidRPr="00282F09">
        <w:rPr>
          <w:rFonts w:ascii="Times New Roman" w:hAnsi="Times New Roman" w:cs="Times New Roman"/>
          <w:sz w:val="20"/>
          <w:szCs w:val="20"/>
        </w:rPr>
        <w:t xml:space="preserve">Timing needs for the intermediate term will require an evolutionary approach based on achieving </w:t>
      </w:r>
      <w:r w:rsidR="009C4B16" w:rsidRPr="00282F09">
        <w:rPr>
          <w:rFonts w:ascii="Times New Roman" w:hAnsi="Times New Roman" w:cs="Times New Roman"/>
          <w:i/>
          <w:sz w:val="20"/>
          <w:szCs w:val="20"/>
        </w:rPr>
        <w:t>manufacturing technology</w:t>
      </w:r>
      <w:r w:rsidR="009C4B16" w:rsidRPr="00282F09">
        <w:rPr>
          <w:rFonts w:ascii="Times New Roman" w:hAnsi="Times New Roman" w:cs="Times New Roman"/>
          <w:sz w:val="20"/>
          <w:szCs w:val="20"/>
        </w:rPr>
        <w:t xml:space="preserve"> advances allowing the continuation of Moore’s Law with current CMOS technology and relying on new computing architectures. </w:t>
      </w:r>
      <w:r w:rsidR="00CA032C" w:rsidRPr="00282F09">
        <w:rPr>
          <w:rFonts w:ascii="Times New Roman" w:hAnsi="Times New Roman" w:cs="Times New Roman"/>
          <w:sz w:val="20"/>
          <w:szCs w:val="20"/>
        </w:rPr>
        <w:t xml:space="preserve">The </w:t>
      </w:r>
      <w:proofErr w:type="gramStart"/>
      <w:r w:rsidR="00CA032C" w:rsidRPr="00282F09">
        <w:rPr>
          <w:rFonts w:ascii="Times New Roman" w:hAnsi="Times New Roman" w:cs="Times New Roman"/>
          <w:sz w:val="20"/>
          <w:szCs w:val="20"/>
        </w:rPr>
        <w:t>long term</w:t>
      </w:r>
      <w:proofErr w:type="gramEnd"/>
      <w:r w:rsidR="00CA032C" w:rsidRPr="00282F09">
        <w:rPr>
          <w:rFonts w:ascii="Times New Roman" w:hAnsi="Times New Roman" w:cs="Times New Roman"/>
          <w:sz w:val="20"/>
          <w:szCs w:val="20"/>
        </w:rPr>
        <w:t xml:space="preserve"> solution</w:t>
      </w:r>
      <w:r w:rsidR="00680441" w:rsidRPr="00282F09">
        <w:rPr>
          <w:rFonts w:ascii="Times New Roman" w:hAnsi="Times New Roman" w:cs="Times New Roman"/>
          <w:sz w:val="20"/>
          <w:szCs w:val="20"/>
        </w:rPr>
        <w:t xml:space="preserve"> </w:t>
      </w:r>
      <w:r w:rsidR="00EF451A" w:rsidRPr="00282F09">
        <w:rPr>
          <w:rFonts w:ascii="Times New Roman" w:hAnsi="Times New Roman" w:cs="Times New Roman"/>
          <w:sz w:val="20"/>
          <w:szCs w:val="20"/>
        </w:rPr>
        <w:t>require</w:t>
      </w:r>
      <w:r w:rsidR="00CA032C" w:rsidRPr="00282F09">
        <w:rPr>
          <w:rFonts w:ascii="Times New Roman" w:hAnsi="Times New Roman" w:cs="Times New Roman"/>
          <w:sz w:val="20"/>
          <w:szCs w:val="20"/>
        </w:rPr>
        <w:t>s</w:t>
      </w:r>
      <w:r w:rsidR="00EF451A" w:rsidRPr="00282F09">
        <w:rPr>
          <w:rFonts w:ascii="Times New Roman" w:hAnsi="Times New Roman" w:cs="Times New Roman"/>
          <w:sz w:val="20"/>
          <w:szCs w:val="20"/>
        </w:rPr>
        <w:t xml:space="preserve"> </w:t>
      </w:r>
      <w:r w:rsidR="00EF451A" w:rsidRPr="00282F09">
        <w:rPr>
          <w:rFonts w:ascii="Times New Roman" w:hAnsi="Times New Roman" w:cs="Times New Roman"/>
          <w:i/>
          <w:sz w:val="20"/>
          <w:szCs w:val="20"/>
        </w:rPr>
        <w:t>fundamental advances</w:t>
      </w:r>
      <w:r w:rsidR="00EF451A" w:rsidRPr="00282F09">
        <w:rPr>
          <w:rFonts w:ascii="Times New Roman" w:hAnsi="Times New Roman" w:cs="Times New Roman"/>
          <w:sz w:val="20"/>
          <w:szCs w:val="20"/>
        </w:rPr>
        <w:t xml:space="preserve"> in our </w:t>
      </w:r>
      <w:r w:rsidR="00EF451A" w:rsidRPr="00282F09">
        <w:rPr>
          <w:rFonts w:ascii="Times New Roman" w:hAnsi="Times New Roman" w:cs="Times New Roman"/>
          <w:i/>
          <w:sz w:val="20"/>
          <w:szCs w:val="20"/>
        </w:rPr>
        <w:t>knowledge of materials</w:t>
      </w:r>
      <w:r w:rsidR="00EF451A" w:rsidRPr="00282F09">
        <w:rPr>
          <w:rFonts w:ascii="Times New Roman" w:hAnsi="Times New Roman" w:cs="Times New Roman"/>
          <w:sz w:val="20"/>
          <w:szCs w:val="20"/>
        </w:rPr>
        <w:t xml:space="preserve"> and pathways to control and manipulate </w:t>
      </w:r>
      <w:r w:rsidR="00CA032C" w:rsidRPr="00282F09">
        <w:rPr>
          <w:rFonts w:ascii="Times New Roman" w:hAnsi="Times New Roman" w:cs="Times New Roman"/>
          <w:sz w:val="20"/>
          <w:szCs w:val="20"/>
        </w:rPr>
        <w:t xml:space="preserve">information elements at </w:t>
      </w:r>
      <w:r w:rsidR="00EF451A" w:rsidRPr="00282F09">
        <w:rPr>
          <w:rFonts w:ascii="Times New Roman" w:hAnsi="Times New Roman" w:cs="Times New Roman"/>
          <w:sz w:val="20"/>
          <w:szCs w:val="20"/>
        </w:rPr>
        <w:t>the limits of energy flow</w:t>
      </w:r>
      <w:r w:rsidR="00CA032C" w:rsidRPr="00282F09">
        <w:rPr>
          <w:rFonts w:ascii="Times New Roman" w:hAnsi="Times New Roman" w:cs="Times New Roman"/>
          <w:sz w:val="20"/>
          <w:szCs w:val="20"/>
        </w:rPr>
        <w:t>,</w:t>
      </w:r>
      <w:r w:rsidR="00EF451A" w:rsidRPr="00282F09">
        <w:rPr>
          <w:rFonts w:ascii="Times New Roman" w:hAnsi="Times New Roman" w:cs="Times New Roman"/>
          <w:sz w:val="20"/>
          <w:szCs w:val="20"/>
        </w:rPr>
        <w:t xml:space="preserve"> </w:t>
      </w:r>
      <w:r w:rsidR="00CA032C" w:rsidRPr="00282F09">
        <w:rPr>
          <w:rFonts w:ascii="Times New Roman" w:hAnsi="Times New Roman" w:cs="Times New Roman"/>
          <w:sz w:val="20"/>
          <w:szCs w:val="20"/>
        </w:rPr>
        <w:t>ultimately achieving</w:t>
      </w:r>
      <w:r w:rsidR="00B464C5" w:rsidRPr="00282F09">
        <w:rPr>
          <w:rFonts w:ascii="Times New Roman" w:hAnsi="Times New Roman" w:cs="Times New Roman"/>
          <w:sz w:val="20"/>
          <w:szCs w:val="20"/>
        </w:rPr>
        <w:t xml:space="preserve"> 1 </w:t>
      </w:r>
      <w:proofErr w:type="spellStart"/>
      <w:r w:rsidR="00B464C5" w:rsidRPr="00282F09">
        <w:rPr>
          <w:rFonts w:ascii="Times New Roman" w:hAnsi="Times New Roman" w:cs="Times New Roman"/>
          <w:sz w:val="20"/>
          <w:szCs w:val="20"/>
        </w:rPr>
        <w:t>AttoJoule</w:t>
      </w:r>
      <w:proofErr w:type="spellEnd"/>
      <w:r w:rsidR="005F29A2" w:rsidRPr="00282F09">
        <w:rPr>
          <w:rFonts w:ascii="Times New Roman" w:hAnsi="Times New Roman" w:cs="Times New Roman"/>
          <w:sz w:val="20"/>
          <w:szCs w:val="20"/>
        </w:rPr>
        <w:t>/operation</w:t>
      </w:r>
      <w:r w:rsidR="00B464C5" w:rsidRPr="00282F09">
        <w:rPr>
          <w:rFonts w:ascii="Times New Roman" w:hAnsi="Times New Roman" w:cs="Times New Roman"/>
          <w:sz w:val="20"/>
          <w:szCs w:val="20"/>
        </w:rPr>
        <w:t>, which would be 6 orders of magnitude smaller than today</w:t>
      </w:r>
      <w:r w:rsidR="00B70B73" w:rsidRPr="00282F09">
        <w:rPr>
          <w:rFonts w:ascii="Times New Roman" w:hAnsi="Times New Roman" w:cs="Times New Roman"/>
          <w:sz w:val="20"/>
          <w:szCs w:val="20"/>
        </w:rPr>
        <w:t>’</w:t>
      </w:r>
      <w:r w:rsidR="00B464C5" w:rsidRPr="00282F09">
        <w:rPr>
          <w:rFonts w:ascii="Times New Roman" w:hAnsi="Times New Roman" w:cs="Times New Roman"/>
          <w:sz w:val="20"/>
          <w:szCs w:val="20"/>
        </w:rPr>
        <w:t xml:space="preserve">s devices. </w:t>
      </w:r>
      <w:r w:rsidR="00EF451A" w:rsidRPr="00282F09">
        <w:rPr>
          <w:rFonts w:ascii="Times New Roman" w:hAnsi="Times New Roman" w:cs="Times New Roman"/>
          <w:sz w:val="20"/>
          <w:szCs w:val="20"/>
        </w:rPr>
        <w:t xml:space="preserve"> </w:t>
      </w:r>
      <w:r w:rsidR="0007358E" w:rsidRPr="00282F09">
        <w:rPr>
          <w:rFonts w:ascii="Times New Roman" w:hAnsi="Times New Roman" w:cs="Times New Roman"/>
          <w:sz w:val="20"/>
          <w:szCs w:val="20"/>
        </w:rPr>
        <w:t xml:space="preserve">As we approach the longer term, we will require </w:t>
      </w:r>
      <w:r w:rsidR="00C60B55" w:rsidRPr="00282F09">
        <w:rPr>
          <w:rFonts w:ascii="Times New Roman" w:hAnsi="Times New Roman" w:cs="Times New Roman"/>
          <w:sz w:val="20"/>
          <w:szCs w:val="20"/>
        </w:rPr>
        <w:t xml:space="preserve">groundbreaking advances in </w:t>
      </w:r>
      <w:r w:rsidR="00C60B55" w:rsidRPr="00282F09">
        <w:rPr>
          <w:rFonts w:ascii="Times New Roman" w:hAnsi="Times New Roman" w:cs="Times New Roman"/>
          <w:i/>
          <w:sz w:val="20"/>
          <w:szCs w:val="20"/>
        </w:rPr>
        <w:t>device technology going beyond CMOS</w:t>
      </w:r>
      <w:r w:rsidR="00E816C9" w:rsidRPr="00282F09">
        <w:rPr>
          <w:rFonts w:ascii="Times New Roman" w:hAnsi="Times New Roman" w:cs="Times New Roman"/>
          <w:i/>
          <w:sz w:val="20"/>
          <w:szCs w:val="20"/>
        </w:rPr>
        <w:t xml:space="preserve"> (arising from fundamentally new knowledge of control pathways)</w:t>
      </w:r>
      <w:r w:rsidR="00C60B55" w:rsidRPr="00282F09">
        <w:rPr>
          <w:rFonts w:ascii="Times New Roman" w:hAnsi="Times New Roman" w:cs="Times New Roman"/>
          <w:i/>
          <w:sz w:val="20"/>
          <w:szCs w:val="20"/>
        </w:rPr>
        <w:t>, system architecture, and programming models</w:t>
      </w:r>
      <w:r w:rsidR="00C60B55" w:rsidRPr="00282F09">
        <w:rPr>
          <w:rFonts w:ascii="Times New Roman" w:hAnsi="Times New Roman" w:cs="Times New Roman"/>
          <w:sz w:val="20"/>
          <w:szCs w:val="20"/>
        </w:rPr>
        <w:t xml:space="preserve"> to allow the energy benefits of scaling to be realized. </w:t>
      </w:r>
      <w:r w:rsidR="007A0CA6" w:rsidRPr="00282F09">
        <w:rPr>
          <w:rFonts w:ascii="Times New Roman" w:hAnsi="Times New Roman" w:cs="Times New Roman"/>
          <w:sz w:val="20"/>
          <w:szCs w:val="20"/>
        </w:rPr>
        <w:t>Only with co-design covering this broad space</w:t>
      </w:r>
      <w:r w:rsidR="002D3BA6" w:rsidRPr="00282F09">
        <w:rPr>
          <w:rFonts w:ascii="Times New Roman" w:hAnsi="Times New Roman" w:cs="Times New Roman"/>
          <w:sz w:val="20"/>
          <w:szCs w:val="20"/>
        </w:rPr>
        <w:t xml:space="preserve"> and consideration of manufacturing challenges</w:t>
      </w:r>
      <w:r w:rsidR="007A0CA6" w:rsidRPr="00282F09">
        <w:rPr>
          <w:rFonts w:ascii="Times New Roman" w:hAnsi="Times New Roman" w:cs="Times New Roman"/>
          <w:sz w:val="20"/>
          <w:szCs w:val="20"/>
        </w:rPr>
        <w:t xml:space="preserve">, can we expect to make progress in all areas cohesively to bring about real change to </w:t>
      </w:r>
      <w:r w:rsidR="00E816C9" w:rsidRPr="00282F09">
        <w:rPr>
          <w:rFonts w:ascii="Times New Roman" w:hAnsi="Times New Roman" w:cs="Times New Roman"/>
          <w:sz w:val="20"/>
          <w:szCs w:val="20"/>
        </w:rPr>
        <w:t xml:space="preserve">the </w:t>
      </w:r>
      <w:r w:rsidR="006C0621" w:rsidRPr="00282F09">
        <w:rPr>
          <w:rFonts w:ascii="Times New Roman" w:hAnsi="Times New Roman" w:cs="Times New Roman"/>
          <w:sz w:val="20"/>
          <w:szCs w:val="20"/>
        </w:rPr>
        <w:t>IT</w:t>
      </w:r>
      <w:r w:rsidR="00C60B55" w:rsidRPr="00282F09">
        <w:rPr>
          <w:rFonts w:ascii="Times New Roman" w:hAnsi="Times New Roman" w:cs="Times New Roman"/>
          <w:sz w:val="20"/>
          <w:szCs w:val="20"/>
        </w:rPr>
        <w:t xml:space="preserve"> energy outlook</w:t>
      </w:r>
      <w:r w:rsidR="007A0CA6" w:rsidRPr="00282F09">
        <w:rPr>
          <w:rFonts w:ascii="Times New Roman" w:hAnsi="Times New Roman" w:cs="Times New Roman"/>
          <w:sz w:val="20"/>
          <w:szCs w:val="20"/>
        </w:rPr>
        <w:t xml:space="preserve">. </w:t>
      </w:r>
      <w:r w:rsidR="00C60B55" w:rsidRPr="00282F09">
        <w:rPr>
          <w:rFonts w:ascii="Times New Roman" w:hAnsi="Times New Roman" w:cs="Times New Roman"/>
          <w:sz w:val="20"/>
          <w:szCs w:val="20"/>
        </w:rPr>
        <w:t>In addition to containing the growth of IT related energy demand, t</w:t>
      </w:r>
      <w:r w:rsidR="00B6707B" w:rsidRPr="00282F09">
        <w:rPr>
          <w:rFonts w:ascii="Times New Roman" w:hAnsi="Times New Roman" w:cs="Times New Roman"/>
          <w:sz w:val="20"/>
          <w:szCs w:val="20"/>
        </w:rPr>
        <w:t xml:space="preserve">he output </w:t>
      </w:r>
      <w:r w:rsidR="00C60B55" w:rsidRPr="00282F09">
        <w:rPr>
          <w:rFonts w:ascii="Times New Roman" w:hAnsi="Times New Roman" w:cs="Times New Roman"/>
          <w:sz w:val="20"/>
          <w:szCs w:val="20"/>
        </w:rPr>
        <w:t xml:space="preserve">of this work will provide a path to </w:t>
      </w:r>
      <w:r w:rsidR="00D13C85" w:rsidRPr="00282F09">
        <w:rPr>
          <w:rFonts w:ascii="Times New Roman" w:hAnsi="Times New Roman" w:cs="Times New Roman"/>
          <w:sz w:val="20"/>
          <w:szCs w:val="20"/>
        </w:rPr>
        <w:t xml:space="preserve">sustaining exponential growth in computing capabilities </w:t>
      </w:r>
      <w:r w:rsidR="00B6707B" w:rsidRPr="00282F09">
        <w:rPr>
          <w:rFonts w:ascii="Times New Roman" w:hAnsi="Times New Roman" w:cs="Times New Roman"/>
          <w:sz w:val="20"/>
          <w:szCs w:val="20"/>
        </w:rPr>
        <w:t>to enable new scientific discoveries, and maintain U</w:t>
      </w:r>
      <w:r w:rsidR="00D13C85" w:rsidRPr="00282F09">
        <w:rPr>
          <w:rFonts w:ascii="Times New Roman" w:hAnsi="Times New Roman" w:cs="Times New Roman"/>
          <w:sz w:val="20"/>
          <w:szCs w:val="20"/>
        </w:rPr>
        <w:t>.</w:t>
      </w:r>
      <w:r w:rsidR="00B6707B" w:rsidRPr="00282F09">
        <w:rPr>
          <w:rFonts w:ascii="Times New Roman" w:hAnsi="Times New Roman" w:cs="Times New Roman"/>
          <w:sz w:val="20"/>
          <w:szCs w:val="20"/>
        </w:rPr>
        <w:t>S</w:t>
      </w:r>
      <w:r w:rsidR="00D13C85" w:rsidRPr="00282F09">
        <w:rPr>
          <w:rFonts w:ascii="Times New Roman" w:hAnsi="Times New Roman" w:cs="Times New Roman"/>
          <w:sz w:val="20"/>
          <w:szCs w:val="20"/>
        </w:rPr>
        <w:t>.</w:t>
      </w:r>
      <w:r w:rsidR="00B6707B" w:rsidRPr="00282F09">
        <w:rPr>
          <w:rFonts w:ascii="Times New Roman" w:hAnsi="Times New Roman" w:cs="Times New Roman"/>
          <w:sz w:val="20"/>
          <w:szCs w:val="20"/>
        </w:rPr>
        <w:t xml:space="preserve"> competitiveness in all segments of the computing market (from </w:t>
      </w:r>
      <w:proofErr w:type="spellStart"/>
      <w:r w:rsidR="00B6707B" w:rsidRPr="00282F09">
        <w:rPr>
          <w:rFonts w:ascii="Times New Roman" w:hAnsi="Times New Roman" w:cs="Times New Roman"/>
          <w:sz w:val="20"/>
          <w:szCs w:val="20"/>
        </w:rPr>
        <w:t>IoT</w:t>
      </w:r>
      <w:proofErr w:type="spellEnd"/>
      <w:r w:rsidR="00D13C85" w:rsidRPr="00282F09">
        <w:rPr>
          <w:rFonts w:ascii="Times New Roman" w:hAnsi="Times New Roman" w:cs="Times New Roman"/>
          <w:sz w:val="20"/>
          <w:szCs w:val="20"/>
        </w:rPr>
        <w:t>,</w:t>
      </w:r>
      <w:r w:rsidR="00B6707B" w:rsidRPr="00282F09">
        <w:rPr>
          <w:rFonts w:ascii="Times New Roman" w:hAnsi="Times New Roman" w:cs="Times New Roman"/>
          <w:sz w:val="20"/>
          <w:szCs w:val="20"/>
        </w:rPr>
        <w:t xml:space="preserve"> </w:t>
      </w:r>
      <w:r w:rsidR="00061A08" w:rsidRPr="00282F09">
        <w:rPr>
          <w:rFonts w:ascii="Times New Roman" w:hAnsi="Times New Roman" w:cs="Times New Roman"/>
          <w:sz w:val="20"/>
          <w:szCs w:val="20"/>
        </w:rPr>
        <w:t xml:space="preserve">consumer electronics </w:t>
      </w:r>
      <w:r w:rsidR="00B6707B" w:rsidRPr="00282F09">
        <w:rPr>
          <w:rFonts w:ascii="Times New Roman" w:hAnsi="Times New Roman" w:cs="Times New Roman"/>
          <w:sz w:val="20"/>
          <w:szCs w:val="20"/>
        </w:rPr>
        <w:t xml:space="preserve">to datacenters, to supercomputing). </w:t>
      </w:r>
    </w:p>
    <w:p w14:paraId="51F5311E" w14:textId="330E6205" w:rsidR="00DC4187" w:rsidRPr="00282F09" w:rsidRDefault="002D3BA6" w:rsidP="00F712CA">
      <w:pPr>
        <w:spacing w:after="120" w:line="240" w:lineRule="auto"/>
        <w:jc w:val="both"/>
        <w:rPr>
          <w:rFonts w:ascii="Times New Roman" w:hAnsi="Times New Roman" w:cs="Times New Roman"/>
          <w:sz w:val="20"/>
          <w:szCs w:val="20"/>
        </w:rPr>
      </w:pPr>
      <w:r w:rsidRPr="00282F09">
        <w:rPr>
          <w:rFonts w:ascii="Times New Roman" w:hAnsi="Times New Roman" w:cs="Times New Roman"/>
          <w:sz w:val="20"/>
          <w:szCs w:val="20"/>
        </w:rPr>
        <w:t xml:space="preserve">To meet the goals of broad societal impact, we must ensure transition of basic research to high volume manufacturing and even more fundamentally shape </w:t>
      </w:r>
      <w:r w:rsidR="006C0621" w:rsidRPr="00282F09">
        <w:rPr>
          <w:rFonts w:ascii="Times New Roman" w:hAnsi="Times New Roman" w:cs="Times New Roman"/>
          <w:sz w:val="20"/>
          <w:szCs w:val="20"/>
        </w:rPr>
        <w:t>basic</w:t>
      </w:r>
      <w:r w:rsidRPr="00282F09">
        <w:rPr>
          <w:rFonts w:ascii="Times New Roman" w:hAnsi="Times New Roman" w:cs="Times New Roman"/>
          <w:sz w:val="20"/>
          <w:szCs w:val="20"/>
        </w:rPr>
        <w:t xml:space="preserve"> research from the start with an eye to manufacturability. This will be achieved through the development of a multi</w:t>
      </w:r>
      <w:r w:rsidR="00941820" w:rsidRPr="00282F09">
        <w:rPr>
          <w:rFonts w:ascii="Times New Roman" w:hAnsi="Times New Roman" w:cs="Times New Roman"/>
          <w:sz w:val="20"/>
          <w:szCs w:val="20"/>
        </w:rPr>
        <w:t>-</w:t>
      </w:r>
      <w:r w:rsidRPr="00282F09">
        <w:rPr>
          <w:rFonts w:ascii="Times New Roman" w:hAnsi="Times New Roman" w:cs="Times New Roman"/>
          <w:sz w:val="20"/>
          <w:szCs w:val="20"/>
        </w:rPr>
        <w:t xml:space="preserve">lab ecosystem serving as a facility that can evaluate and demonstrate the manufacturing and energy savings feasibility of </w:t>
      </w:r>
      <w:r w:rsidR="00BB408A" w:rsidRPr="00282F09">
        <w:rPr>
          <w:rFonts w:ascii="Times New Roman" w:hAnsi="Times New Roman" w:cs="Times New Roman"/>
          <w:sz w:val="20"/>
          <w:szCs w:val="20"/>
        </w:rPr>
        <w:t xml:space="preserve">next generation technology options. Technologies will be rigorously evaluated for </w:t>
      </w:r>
      <w:r w:rsidRPr="00282F09">
        <w:rPr>
          <w:rFonts w:ascii="Times New Roman" w:hAnsi="Times New Roman" w:cs="Times New Roman"/>
          <w:sz w:val="20"/>
          <w:szCs w:val="20"/>
        </w:rPr>
        <w:t>potential benefits on energy and implications on architecture</w:t>
      </w:r>
      <w:r w:rsidR="00BB408A" w:rsidRPr="00282F09">
        <w:rPr>
          <w:rFonts w:ascii="Times New Roman" w:hAnsi="Times New Roman" w:cs="Times New Roman"/>
          <w:sz w:val="20"/>
          <w:szCs w:val="20"/>
        </w:rPr>
        <w:t>,</w:t>
      </w:r>
      <w:r w:rsidRPr="00282F09">
        <w:rPr>
          <w:rFonts w:ascii="Times New Roman" w:hAnsi="Times New Roman" w:cs="Times New Roman"/>
          <w:sz w:val="20"/>
          <w:szCs w:val="20"/>
        </w:rPr>
        <w:t xml:space="preserve"> programming</w:t>
      </w:r>
      <w:r w:rsidR="00E569ED" w:rsidRPr="00282F09">
        <w:rPr>
          <w:rFonts w:ascii="Times New Roman" w:hAnsi="Times New Roman" w:cs="Times New Roman"/>
          <w:sz w:val="20"/>
          <w:szCs w:val="20"/>
        </w:rPr>
        <w:t xml:space="preserve"> paradigms</w:t>
      </w:r>
      <w:r w:rsidRPr="00282F09">
        <w:rPr>
          <w:rFonts w:ascii="Times New Roman" w:hAnsi="Times New Roman" w:cs="Times New Roman"/>
          <w:sz w:val="20"/>
          <w:szCs w:val="20"/>
        </w:rPr>
        <w:t xml:space="preserve">. </w:t>
      </w:r>
      <w:r w:rsidR="00BB408A" w:rsidRPr="00282F09">
        <w:rPr>
          <w:rFonts w:ascii="Times New Roman" w:hAnsi="Times New Roman" w:cs="Times New Roman"/>
          <w:sz w:val="20"/>
          <w:szCs w:val="20"/>
        </w:rPr>
        <w:t xml:space="preserve">The most promising technologies will be evaluated </w:t>
      </w:r>
      <w:r w:rsidR="00E569ED" w:rsidRPr="00282F09">
        <w:rPr>
          <w:rFonts w:ascii="Times New Roman" w:hAnsi="Times New Roman" w:cs="Times New Roman"/>
          <w:sz w:val="20"/>
          <w:szCs w:val="20"/>
        </w:rPr>
        <w:t>for</w:t>
      </w:r>
      <w:r w:rsidRPr="00282F09">
        <w:rPr>
          <w:rFonts w:ascii="Times New Roman" w:hAnsi="Times New Roman" w:cs="Times New Roman"/>
          <w:sz w:val="20"/>
          <w:szCs w:val="20"/>
        </w:rPr>
        <w:t xml:space="preserve"> issues around high volume manufacturing </w:t>
      </w:r>
      <w:r w:rsidR="00E569ED" w:rsidRPr="00282F09">
        <w:rPr>
          <w:rFonts w:ascii="Times New Roman" w:hAnsi="Times New Roman" w:cs="Times New Roman"/>
          <w:sz w:val="20"/>
          <w:szCs w:val="20"/>
        </w:rPr>
        <w:t>followed by</w:t>
      </w:r>
      <w:r w:rsidRPr="00282F09">
        <w:rPr>
          <w:rFonts w:ascii="Times New Roman" w:hAnsi="Times New Roman" w:cs="Times New Roman"/>
          <w:sz w:val="20"/>
          <w:szCs w:val="20"/>
        </w:rPr>
        <w:t xml:space="preserve"> </w:t>
      </w:r>
      <w:r w:rsidR="00E569ED" w:rsidRPr="00282F09">
        <w:rPr>
          <w:rFonts w:ascii="Times New Roman" w:hAnsi="Times New Roman" w:cs="Times New Roman"/>
          <w:sz w:val="20"/>
          <w:szCs w:val="20"/>
        </w:rPr>
        <w:t xml:space="preserve">ramp-up </w:t>
      </w:r>
      <w:r w:rsidRPr="00282F09">
        <w:rPr>
          <w:rFonts w:ascii="Times New Roman" w:hAnsi="Times New Roman" w:cs="Times New Roman"/>
          <w:sz w:val="20"/>
          <w:szCs w:val="20"/>
        </w:rPr>
        <w:t>demonstrat</w:t>
      </w:r>
      <w:r w:rsidR="00E569ED" w:rsidRPr="00282F09">
        <w:rPr>
          <w:rFonts w:ascii="Times New Roman" w:hAnsi="Times New Roman" w:cs="Times New Roman"/>
          <w:sz w:val="20"/>
          <w:szCs w:val="20"/>
        </w:rPr>
        <w:t>ion</w:t>
      </w:r>
      <w:r w:rsidRPr="00282F09">
        <w:rPr>
          <w:rFonts w:ascii="Times New Roman" w:hAnsi="Times New Roman" w:cs="Times New Roman"/>
          <w:sz w:val="20"/>
          <w:szCs w:val="20"/>
        </w:rPr>
        <w:t xml:space="preserve"> and getting them to deliver on the energy promises.  This phase will depend heavily on identifying specific </w:t>
      </w:r>
      <w:r w:rsidR="004A56E7" w:rsidRPr="00282F09">
        <w:rPr>
          <w:rFonts w:ascii="Times New Roman" w:hAnsi="Times New Roman" w:cs="Times New Roman"/>
          <w:sz w:val="20"/>
          <w:szCs w:val="20"/>
        </w:rPr>
        <w:t>sets of materials, and pathways by which they can be scaled up</w:t>
      </w:r>
      <w:r w:rsidRPr="00282F09">
        <w:rPr>
          <w:rFonts w:ascii="Times New Roman" w:hAnsi="Times New Roman" w:cs="Times New Roman"/>
          <w:sz w:val="20"/>
          <w:szCs w:val="20"/>
        </w:rPr>
        <w:t xml:space="preserve"> </w:t>
      </w:r>
      <w:r w:rsidR="00E569ED" w:rsidRPr="00282F09">
        <w:rPr>
          <w:rFonts w:ascii="Times New Roman" w:hAnsi="Times New Roman" w:cs="Times New Roman"/>
          <w:sz w:val="20"/>
          <w:szCs w:val="20"/>
        </w:rPr>
        <w:t>where we will leverage the capabilities of the</w:t>
      </w:r>
      <w:r w:rsidRPr="00282F09">
        <w:rPr>
          <w:rFonts w:ascii="Times New Roman" w:hAnsi="Times New Roman" w:cs="Times New Roman"/>
          <w:sz w:val="20"/>
          <w:szCs w:val="20"/>
        </w:rPr>
        <w:t xml:space="preserve"> Material</w:t>
      </w:r>
      <w:r w:rsidR="00E569ED" w:rsidRPr="00282F09">
        <w:rPr>
          <w:rFonts w:ascii="Times New Roman" w:hAnsi="Times New Roman" w:cs="Times New Roman"/>
          <w:sz w:val="20"/>
          <w:szCs w:val="20"/>
        </w:rPr>
        <w:t>s</w:t>
      </w:r>
      <w:r w:rsidRPr="00282F09">
        <w:rPr>
          <w:rFonts w:ascii="Times New Roman" w:hAnsi="Times New Roman" w:cs="Times New Roman"/>
          <w:sz w:val="20"/>
          <w:szCs w:val="20"/>
        </w:rPr>
        <w:t xml:space="preserve"> Project and current HPC capabilities to accelerate the developmen</w:t>
      </w:r>
      <w:r w:rsidR="00E569ED" w:rsidRPr="00282F09">
        <w:rPr>
          <w:rFonts w:ascii="Times New Roman" w:hAnsi="Times New Roman" w:cs="Times New Roman"/>
          <w:sz w:val="20"/>
          <w:szCs w:val="20"/>
        </w:rPr>
        <w:t>t through modeling and "virtual</w:t>
      </w:r>
      <w:r w:rsidRPr="00282F09">
        <w:rPr>
          <w:rFonts w:ascii="Times New Roman" w:hAnsi="Times New Roman" w:cs="Times New Roman"/>
          <w:sz w:val="20"/>
          <w:szCs w:val="20"/>
        </w:rPr>
        <w:t xml:space="preserve"> cycles of learning</w:t>
      </w:r>
      <w:r w:rsidR="00E569ED" w:rsidRPr="00282F09">
        <w:rPr>
          <w:rFonts w:ascii="Times New Roman" w:hAnsi="Times New Roman" w:cs="Times New Roman"/>
          <w:sz w:val="20"/>
          <w:szCs w:val="20"/>
        </w:rPr>
        <w:t>”</w:t>
      </w:r>
      <w:r w:rsidRPr="00282F09">
        <w:rPr>
          <w:rFonts w:ascii="Times New Roman" w:hAnsi="Times New Roman" w:cs="Times New Roman"/>
          <w:sz w:val="20"/>
          <w:szCs w:val="20"/>
        </w:rPr>
        <w:t xml:space="preserve">. </w:t>
      </w:r>
      <w:r w:rsidR="00E569ED" w:rsidRPr="00282F09">
        <w:rPr>
          <w:rFonts w:ascii="Times New Roman" w:hAnsi="Times New Roman" w:cs="Times New Roman"/>
          <w:sz w:val="20"/>
          <w:szCs w:val="20"/>
        </w:rPr>
        <w:t xml:space="preserve">Manufacturing </w:t>
      </w:r>
      <w:r w:rsidRPr="00282F09">
        <w:rPr>
          <w:rFonts w:ascii="Times New Roman" w:hAnsi="Times New Roman" w:cs="Times New Roman"/>
          <w:sz w:val="20"/>
          <w:szCs w:val="20"/>
        </w:rPr>
        <w:t xml:space="preserve">feasibility would also include demonstration of whatever patterning technology would be needed to support the various technologies and scaling of those technologies. </w:t>
      </w:r>
      <w:r w:rsidR="00E569ED" w:rsidRPr="00282F09">
        <w:rPr>
          <w:rFonts w:ascii="Times New Roman" w:hAnsi="Times New Roman" w:cs="Times New Roman"/>
          <w:sz w:val="20"/>
          <w:szCs w:val="20"/>
        </w:rPr>
        <w:t xml:space="preserve">Delivering on this vision will require the integration of </w:t>
      </w:r>
      <w:r w:rsidR="007B0C14" w:rsidRPr="00282F09">
        <w:rPr>
          <w:rFonts w:ascii="Times New Roman" w:hAnsi="Times New Roman" w:cs="Times New Roman"/>
          <w:sz w:val="20"/>
          <w:szCs w:val="20"/>
        </w:rPr>
        <w:t xml:space="preserve">five </w:t>
      </w:r>
      <w:r w:rsidR="00E569ED" w:rsidRPr="00282F09">
        <w:rPr>
          <w:rFonts w:ascii="Times New Roman" w:hAnsi="Times New Roman" w:cs="Times New Roman"/>
          <w:sz w:val="20"/>
          <w:szCs w:val="20"/>
        </w:rPr>
        <w:t>major thrusts</w:t>
      </w:r>
      <w:r w:rsidR="004D3C1C" w:rsidRPr="00282F09">
        <w:rPr>
          <w:rFonts w:ascii="Times New Roman" w:hAnsi="Times New Roman" w:cs="Times New Roman"/>
          <w:sz w:val="20"/>
          <w:szCs w:val="20"/>
        </w:rPr>
        <w:t xml:space="preserve"> </w:t>
      </w:r>
      <w:r w:rsidR="007E7C48" w:rsidRPr="00282F09">
        <w:rPr>
          <w:rFonts w:ascii="Times New Roman" w:hAnsi="Times New Roman" w:cs="Times New Roman"/>
          <w:sz w:val="20"/>
          <w:szCs w:val="20"/>
        </w:rPr>
        <w:t xml:space="preserve">as follows: </w:t>
      </w:r>
    </w:p>
    <w:p w14:paraId="2CCF5A19" w14:textId="1364BD0D" w:rsidR="004A56E7" w:rsidRPr="00282F09" w:rsidRDefault="001515D6" w:rsidP="00F712CA">
      <w:pPr>
        <w:pStyle w:val="ListParagraph"/>
        <w:numPr>
          <w:ilvl w:val="0"/>
          <w:numId w:val="3"/>
        </w:numPr>
        <w:jc w:val="both"/>
        <w:rPr>
          <w:rFonts w:ascii="Times New Roman" w:hAnsi="Times New Roman" w:cs="Times New Roman"/>
          <w:sz w:val="20"/>
          <w:szCs w:val="20"/>
        </w:rPr>
      </w:pPr>
      <w:r w:rsidRPr="00282F09">
        <w:rPr>
          <w:rFonts w:ascii="Times New Roman" w:hAnsi="Times New Roman" w:cs="Times New Roman"/>
          <w:sz w:val="20"/>
          <w:szCs w:val="20"/>
        </w:rPr>
        <w:lastRenderedPageBreak/>
        <w:t xml:space="preserve">The </w:t>
      </w:r>
      <w:r w:rsidRPr="00282F09">
        <w:rPr>
          <w:rFonts w:ascii="Times New Roman" w:hAnsi="Times New Roman" w:cs="Times New Roman"/>
          <w:b/>
          <w:i/>
          <w:sz w:val="20"/>
          <w:szCs w:val="20"/>
        </w:rPr>
        <w:t>F</w:t>
      </w:r>
      <w:r w:rsidR="004A56E7" w:rsidRPr="00282F09">
        <w:rPr>
          <w:rFonts w:ascii="Times New Roman" w:hAnsi="Times New Roman" w:cs="Times New Roman"/>
          <w:b/>
          <w:i/>
          <w:sz w:val="20"/>
          <w:szCs w:val="20"/>
        </w:rPr>
        <w:t>undamental Materials Science</w:t>
      </w:r>
      <w:r w:rsidRPr="00282F09">
        <w:rPr>
          <w:rFonts w:ascii="Times New Roman" w:hAnsi="Times New Roman" w:cs="Times New Roman"/>
          <w:sz w:val="20"/>
          <w:szCs w:val="20"/>
        </w:rPr>
        <w:t xml:space="preserve"> thrust wil</w:t>
      </w:r>
      <w:r w:rsidR="00D102A0" w:rsidRPr="00282F09">
        <w:rPr>
          <w:rFonts w:ascii="Times New Roman" w:hAnsi="Times New Roman" w:cs="Times New Roman"/>
          <w:sz w:val="20"/>
          <w:szCs w:val="20"/>
        </w:rPr>
        <w:t>l explore</w:t>
      </w:r>
      <w:r w:rsidR="004679CF" w:rsidRPr="00282F09">
        <w:rPr>
          <w:rFonts w:ascii="Times New Roman" w:hAnsi="Times New Roman" w:cs="Times New Roman"/>
          <w:sz w:val="20"/>
          <w:szCs w:val="20"/>
        </w:rPr>
        <w:t>, discover, and design elemental excitations in condensed matter that can in new information channels.</w:t>
      </w:r>
      <w:r w:rsidR="00D102A0" w:rsidRPr="00282F09">
        <w:rPr>
          <w:rFonts w:ascii="Times New Roman" w:hAnsi="Times New Roman" w:cs="Times New Roman"/>
          <w:sz w:val="20"/>
          <w:szCs w:val="20"/>
        </w:rPr>
        <w:t xml:space="preserve"> </w:t>
      </w:r>
      <w:r w:rsidR="004679CF" w:rsidRPr="00282F09">
        <w:rPr>
          <w:rFonts w:ascii="Times New Roman" w:hAnsi="Times New Roman" w:cs="Times New Roman"/>
          <w:sz w:val="20"/>
          <w:szCs w:val="20"/>
        </w:rPr>
        <w:t>Those include system where the principles of</w:t>
      </w:r>
      <w:r w:rsidR="00D102A0" w:rsidRPr="00282F09">
        <w:rPr>
          <w:rFonts w:ascii="Times New Roman" w:hAnsi="Times New Roman" w:cs="Times New Roman"/>
          <w:sz w:val="20"/>
          <w:szCs w:val="20"/>
        </w:rPr>
        <w:t xml:space="preserve"> quantum mechanical </w:t>
      </w:r>
      <w:r w:rsidR="004679CF" w:rsidRPr="00282F09">
        <w:rPr>
          <w:rFonts w:ascii="Times New Roman" w:hAnsi="Times New Roman" w:cs="Times New Roman"/>
          <w:sz w:val="20"/>
          <w:szCs w:val="20"/>
        </w:rPr>
        <w:t>and competing spin-orbital and lattice interactions will enable new states of correlated matter and ordered phases. This will allow an</w:t>
      </w:r>
      <w:r w:rsidR="00546C11" w:rsidRPr="00282F09">
        <w:rPr>
          <w:rFonts w:ascii="Times New Roman" w:hAnsi="Times New Roman" w:cs="Times New Roman"/>
          <w:sz w:val="20"/>
          <w:szCs w:val="20"/>
        </w:rPr>
        <w:t xml:space="preserve"> exquisitely fine ener</w:t>
      </w:r>
      <w:r w:rsidR="009438F3" w:rsidRPr="00282F09">
        <w:rPr>
          <w:rFonts w:ascii="Times New Roman" w:hAnsi="Times New Roman" w:cs="Times New Roman"/>
          <w:sz w:val="20"/>
          <w:szCs w:val="20"/>
        </w:rPr>
        <w:t xml:space="preserve">gy scale control of the states, such as </w:t>
      </w:r>
      <w:r w:rsidR="009D108A" w:rsidRPr="00282F09">
        <w:rPr>
          <w:rFonts w:ascii="Times New Roman" w:hAnsi="Times New Roman" w:cs="Times New Roman"/>
          <w:sz w:val="20"/>
          <w:szCs w:val="20"/>
        </w:rPr>
        <w:t xml:space="preserve">reducing the energy consumption </w:t>
      </w:r>
      <w:r w:rsidR="004679CF" w:rsidRPr="00282F09">
        <w:rPr>
          <w:rFonts w:ascii="Times New Roman" w:hAnsi="Times New Roman" w:cs="Times New Roman"/>
          <w:sz w:val="20"/>
          <w:szCs w:val="20"/>
        </w:rPr>
        <w:t xml:space="preserve">in </w:t>
      </w:r>
      <w:r w:rsidR="009D108A" w:rsidRPr="00282F09">
        <w:rPr>
          <w:rFonts w:ascii="Times New Roman" w:hAnsi="Times New Roman" w:cs="Times New Roman"/>
          <w:sz w:val="20"/>
          <w:szCs w:val="20"/>
        </w:rPr>
        <w:t xml:space="preserve">a </w:t>
      </w:r>
      <w:proofErr w:type="spellStart"/>
      <w:r w:rsidR="004679CF" w:rsidRPr="00282F09">
        <w:rPr>
          <w:rFonts w:ascii="Times New Roman" w:hAnsi="Times New Roman" w:cs="Times New Roman"/>
          <w:sz w:val="20"/>
          <w:szCs w:val="20"/>
        </w:rPr>
        <w:t>nanoscale</w:t>
      </w:r>
      <w:proofErr w:type="spellEnd"/>
      <w:r w:rsidR="004679CF" w:rsidRPr="00282F09">
        <w:rPr>
          <w:rFonts w:ascii="Times New Roman" w:hAnsi="Times New Roman" w:cs="Times New Roman"/>
          <w:sz w:val="20"/>
          <w:szCs w:val="20"/>
        </w:rPr>
        <w:t xml:space="preserve"> switch</w:t>
      </w:r>
      <w:r w:rsidR="009D108A" w:rsidRPr="00282F09">
        <w:rPr>
          <w:rFonts w:ascii="Times New Roman" w:hAnsi="Times New Roman" w:cs="Times New Roman"/>
          <w:sz w:val="20"/>
          <w:szCs w:val="20"/>
        </w:rPr>
        <w:t xml:space="preserve"> from 1pJoule to 1AttoJoule. </w:t>
      </w:r>
      <w:r w:rsidR="00765D48" w:rsidRPr="00282F09">
        <w:rPr>
          <w:rFonts w:ascii="Times New Roman" w:hAnsi="Times New Roman" w:cs="Times New Roman"/>
          <w:sz w:val="20"/>
          <w:szCs w:val="20"/>
        </w:rPr>
        <w:t>This thrust will use the Basic Energy Sciences “Grand Challenges” report as the guiding principle leading to the discovery of new materials, phenomena and processes that will ultimately lead us to a totally new paradigm of information processing, storage and communication.</w:t>
      </w:r>
    </w:p>
    <w:p w14:paraId="420EED99" w14:textId="49ADB32D" w:rsidR="00E72EF5" w:rsidRPr="00282F09" w:rsidRDefault="00E72EF5" w:rsidP="00F712CA">
      <w:pPr>
        <w:pStyle w:val="ListParagraph"/>
        <w:numPr>
          <w:ilvl w:val="0"/>
          <w:numId w:val="3"/>
        </w:numPr>
        <w:jc w:val="both"/>
        <w:rPr>
          <w:rFonts w:ascii="Times New Roman" w:hAnsi="Times New Roman" w:cs="Times New Roman"/>
          <w:sz w:val="20"/>
          <w:szCs w:val="20"/>
        </w:rPr>
      </w:pPr>
      <w:r w:rsidRPr="00282F09">
        <w:rPr>
          <w:rFonts w:ascii="Times New Roman" w:hAnsi="Times New Roman" w:cs="Times New Roman"/>
          <w:sz w:val="20"/>
          <w:szCs w:val="20"/>
        </w:rPr>
        <w:t>The</w:t>
      </w:r>
      <w:r w:rsidRPr="00282F09">
        <w:rPr>
          <w:rFonts w:ascii="Times New Roman" w:hAnsi="Times New Roman" w:cs="Times New Roman"/>
          <w:b/>
          <w:i/>
          <w:sz w:val="20"/>
          <w:szCs w:val="20"/>
        </w:rPr>
        <w:t xml:space="preserve"> devices and CMOS Technology</w:t>
      </w:r>
      <w:r w:rsidRPr="00282F09">
        <w:rPr>
          <w:rFonts w:ascii="Times New Roman" w:hAnsi="Times New Roman" w:cs="Times New Roman"/>
          <w:sz w:val="20"/>
          <w:szCs w:val="20"/>
        </w:rPr>
        <w:t xml:space="preserve"> thrust will explore, identify, model, and demonstrate the new materials and devices for ultra-efficient computing. Examples include low voltage transistor concepts such as the TFET, photonic devices, </w:t>
      </w:r>
      <w:proofErr w:type="spellStart"/>
      <w:r w:rsidRPr="00282F09">
        <w:rPr>
          <w:rFonts w:ascii="Times New Roman" w:hAnsi="Times New Roman" w:cs="Times New Roman"/>
          <w:sz w:val="20"/>
          <w:szCs w:val="20"/>
        </w:rPr>
        <w:t>spintronics</w:t>
      </w:r>
      <w:proofErr w:type="spellEnd"/>
      <w:r w:rsidRPr="00282F09">
        <w:rPr>
          <w:rFonts w:ascii="Times New Roman" w:hAnsi="Times New Roman" w:cs="Times New Roman"/>
          <w:sz w:val="20"/>
          <w:szCs w:val="20"/>
        </w:rPr>
        <w:t xml:space="preserve">, and novel memory devices. </w:t>
      </w:r>
      <w:r w:rsidR="004E5909" w:rsidRPr="00282F09">
        <w:rPr>
          <w:rFonts w:ascii="Times New Roman" w:hAnsi="Times New Roman" w:cs="Times New Roman"/>
          <w:sz w:val="20"/>
          <w:szCs w:val="20"/>
        </w:rPr>
        <w:t>It requires advances in BES material modeling capability together with advances in algorithms from applied mathematics and data processing from ASCR research.</w:t>
      </w:r>
      <w:r w:rsidRPr="00282F09">
        <w:rPr>
          <w:rFonts w:ascii="Times New Roman" w:hAnsi="Times New Roman" w:cs="Times New Roman"/>
          <w:sz w:val="20"/>
          <w:szCs w:val="20"/>
        </w:rPr>
        <w:t xml:space="preserve"> </w:t>
      </w:r>
      <w:r w:rsidRPr="00282F09">
        <w:rPr>
          <w:rFonts w:ascii="Times New Roman" w:hAnsi="Times New Roman" w:cs="Times New Roman"/>
          <w:i/>
          <w:sz w:val="20"/>
          <w:szCs w:val="20"/>
        </w:rPr>
        <w:t>The goal is to</w:t>
      </w:r>
      <w:r w:rsidR="00250103" w:rsidRPr="00282F09">
        <w:rPr>
          <w:rFonts w:ascii="Times New Roman" w:hAnsi="Times New Roman" w:cs="Times New Roman"/>
          <w:i/>
          <w:sz w:val="20"/>
          <w:szCs w:val="20"/>
        </w:rPr>
        <w:t xml:space="preserve"> use Materials Project and HPC high-throughput search for new materials to</w:t>
      </w:r>
      <w:r w:rsidRPr="00282F09">
        <w:rPr>
          <w:rFonts w:ascii="Times New Roman" w:hAnsi="Times New Roman" w:cs="Times New Roman"/>
          <w:i/>
          <w:sz w:val="20"/>
          <w:szCs w:val="20"/>
        </w:rPr>
        <w:t xml:space="preserve"> increase throughput for discovering new electronic materials and devices by a factor of 1000x</w:t>
      </w:r>
      <w:r w:rsidRPr="00282F09">
        <w:rPr>
          <w:rFonts w:ascii="Times New Roman" w:hAnsi="Times New Roman" w:cs="Times New Roman"/>
          <w:sz w:val="20"/>
          <w:szCs w:val="20"/>
        </w:rPr>
        <w:t xml:space="preserve"> over </w:t>
      </w:r>
      <w:r w:rsidR="00FB42FF" w:rsidRPr="00282F09">
        <w:rPr>
          <w:rFonts w:ascii="Times New Roman" w:hAnsi="Times New Roman" w:cs="Times New Roman"/>
          <w:sz w:val="20"/>
          <w:szCs w:val="20"/>
        </w:rPr>
        <w:t>current</w:t>
      </w:r>
      <w:r w:rsidRPr="00282F09">
        <w:rPr>
          <w:rFonts w:ascii="Times New Roman" w:hAnsi="Times New Roman" w:cs="Times New Roman"/>
          <w:sz w:val="20"/>
          <w:szCs w:val="20"/>
        </w:rPr>
        <w:t xml:space="preserve"> </w:t>
      </w:r>
      <w:r w:rsidR="005C233F" w:rsidRPr="00282F09">
        <w:rPr>
          <w:rFonts w:ascii="Times New Roman" w:hAnsi="Times New Roman" w:cs="Times New Roman"/>
          <w:sz w:val="20"/>
          <w:szCs w:val="20"/>
        </w:rPr>
        <w:t>methods.</w:t>
      </w:r>
    </w:p>
    <w:p w14:paraId="51BDEBF6" w14:textId="77777777" w:rsidR="00E72EF5" w:rsidRPr="00282F09" w:rsidRDefault="00E72EF5" w:rsidP="00F712CA">
      <w:pPr>
        <w:pStyle w:val="ListParagraph"/>
        <w:numPr>
          <w:ilvl w:val="0"/>
          <w:numId w:val="3"/>
        </w:numPr>
        <w:jc w:val="both"/>
        <w:rPr>
          <w:rFonts w:ascii="Times New Roman" w:hAnsi="Times New Roman" w:cs="Times New Roman"/>
          <w:sz w:val="20"/>
          <w:szCs w:val="20"/>
        </w:rPr>
      </w:pPr>
      <w:r w:rsidRPr="00282F09">
        <w:rPr>
          <w:rFonts w:ascii="Times New Roman" w:hAnsi="Times New Roman" w:cs="Times New Roman"/>
          <w:sz w:val="20"/>
          <w:szCs w:val="20"/>
        </w:rPr>
        <w:t xml:space="preserve">The </w:t>
      </w:r>
      <w:r w:rsidRPr="00282F09">
        <w:rPr>
          <w:rFonts w:ascii="Times New Roman" w:hAnsi="Times New Roman" w:cs="Times New Roman"/>
          <w:b/>
          <w:i/>
          <w:sz w:val="20"/>
          <w:szCs w:val="20"/>
        </w:rPr>
        <w:t>Advanced Manufacturing and Integration</w:t>
      </w:r>
      <w:r w:rsidRPr="00282F09">
        <w:rPr>
          <w:rFonts w:ascii="Times New Roman" w:hAnsi="Times New Roman" w:cs="Times New Roman"/>
          <w:b/>
          <w:sz w:val="20"/>
          <w:szCs w:val="20"/>
        </w:rPr>
        <w:t xml:space="preserve"> </w:t>
      </w:r>
      <w:r w:rsidRPr="00282F09">
        <w:rPr>
          <w:rFonts w:ascii="Times New Roman" w:hAnsi="Times New Roman" w:cs="Times New Roman"/>
          <w:sz w:val="20"/>
          <w:szCs w:val="20"/>
        </w:rPr>
        <w:t xml:space="preserve">thrust would leverage DOE’s expertise in EUV lithography and materials to develop novel </w:t>
      </w:r>
      <w:proofErr w:type="spellStart"/>
      <w:r w:rsidRPr="00282F09">
        <w:rPr>
          <w:rFonts w:ascii="Times New Roman" w:hAnsi="Times New Roman" w:cs="Times New Roman"/>
          <w:sz w:val="20"/>
          <w:szCs w:val="20"/>
        </w:rPr>
        <w:t>nanomanufacturing</w:t>
      </w:r>
      <w:proofErr w:type="spellEnd"/>
      <w:r w:rsidRPr="00282F09">
        <w:rPr>
          <w:rFonts w:ascii="Times New Roman" w:hAnsi="Times New Roman" w:cs="Times New Roman"/>
          <w:sz w:val="20"/>
          <w:szCs w:val="20"/>
        </w:rPr>
        <w:t xml:space="preserve"> methods, including EUV lithography, heterogeneous integration of advanced photonics and wide </w:t>
      </w:r>
      <w:proofErr w:type="spellStart"/>
      <w:r w:rsidRPr="00282F09">
        <w:rPr>
          <w:rFonts w:ascii="Times New Roman" w:hAnsi="Times New Roman" w:cs="Times New Roman"/>
          <w:sz w:val="20"/>
          <w:szCs w:val="20"/>
        </w:rPr>
        <w:t>bandgap</w:t>
      </w:r>
      <w:proofErr w:type="spellEnd"/>
      <w:r w:rsidRPr="00282F09">
        <w:rPr>
          <w:rFonts w:ascii="Times New Roman" w:hAnsi="Times New Roman" w:cs="Times New Roman"/>
          <w:sz w:val="20"/>
          <w:szCs w:val="20"/>
        </w:rPr>
        <w:t xml:space="preserve"> devices, and 3D stacking, are increasing density enabling memory layers on top of logic layers, and even multiple memory and logic layers interleaved. This radical change challenges assumptions embedded in current architectures, and would provide a new dimension to extend Moore’s Law scaling.</w:t>
      </w:r>
    </w:p>
    <w:p w14:paraId="7E120CFD" w14:textId="5B6BA855" w:rsidR="00E72EF5" w:rsidRPr="00282F09" w:rsidRDefault="00E72EF5" w:rsidP="00F712CA">
      <w:pPr>
        <w:pStyle w:val="ListParagraph"/>
        <w:numPr>
          <w:ilvl w:val="0"/>
          <w:numId w:val="3"/>
        </w:numPr>
        <w:jc w:val="both"/>
        <w:rPr>
          <w:rFonts w:ascii="Times New Roman" w:hAnsi="Times New Roman" w:cs="Times New Roman"/>
          <w:sz w:val="20"/>
          <w:szCs w:val="20"/>
        </w:rPr>
      </w:pPr>
      <w:r w:rsidRPr="00282F09">
        <w:rPr>
          <w:rFonts w:ascii="Times New Roman" w:hAnsi="Times New Roman" w:cs="Times New Roman"/>
          <w:sz w:val="20"/>
          <w:szCs w:val="20"/>
        </w:rPr>
        <w:t xml:space="preserve">The </w:t>
      </w:r>
      <w:r w:rsidRPr="00282F09">
        <w:rPr>
          <w:rFonts w:ascii="Times New Roman" w:hAnsi="Times New Roman" w:cs="Times New Roman"/>
          <w:b/>
          <w:i/>
          <w:sz w:val="20"/>
          <w:szCs w:val="20"/>
        </w:rPr>
        <w:t>Architecture</w:t>
      </w:r>
      <w:r w:rsidRPr="00282F09">
        <w:rPr>
          <w:rFonts w:ascii="Times New Roman" w:hAnsi="Times New Roman" w:cs="Times New Roman"/>
          <w:b/>
          <w:sz w:val="20"/>
          <w:szCs w:val="20"/>
        </w:rPr>
        <w:t xml:space="preserve"> </w:t>
      </w:r>
      <w:r w:rsidRPr="00282F09">
        <w:rPr>
          <w:rFonts w:ascii="Times New Roman" w:hAnsi="Times New Roman" w:cs="Times New Roman"/>
          <w:sz w:val="20"/>
          <w:szCs w:val="20"/>
        </w:rPr>
        <w:t>thrust applies DOE</w:t>
      </w:r>
      <w:r w:rsidR="00A15F76" w:rsidRPr="00282F09">
        <w:rPr>
          <w:rFonts w:ascii="Times New Roman" w:hAnsi="Times New Roman" w:cs="Times New Roman"/>
          <w:sz w:val="20"/>
          <w:szCs w:val="20"/>
        </w:rPr>
        <w:t xml:space="preserve"> ASCR/ASC</w:t>
      </w:r>
      <w:r w:rsidRPr="00282F09">
        <w:rPr>
          <w:rFonts w:ascii="Times New Roman" w:hAnsi="Times New Roman" w:cs="Times New Roman"/>
          <w:sz w:val="20"/>
          <w:szCs w:val="20"/>
        </w:rPr>
        <w:t xml:space="preserve"> expertise in advanced computing to exploit new device and materials systems and packaging technologies developed in the first two thrusts.  Components include accelerators, on-chip wide-</w:t>
      </w:r>
      <w:proofErr w:type="spellStart"/>
      <w:r w:rsidRPr="00282F09">
        <w:rPr>
          <w:rFonts w:ascii="Times New Roman" w:hAnsi="Times New Roman" w:cs="Times New Roman"/>
          <w:sz w:val="20"/>
          <w:szCs w:val="20"/>
        </w:rPr>
        <w:t>bandgap</w:t>
      </w:r>
      <w:proofErr w:type="spellEnd"/>
      <w:r w:rsidRPr="00282F09">
        <w:rPr>
          <w:rFonts w:ascii="Times New Roman" w:hAnsi="Times New Roman" w:cs="Times New Roman"/>
          <w:sz w:val="20"/>
          <w:szCs w:val="20"/>
        </w:rPr>
        <w:t xml:space="preserve"> devices, photonic blocks, and emerging memory devices.  The goal of these architectures is to remove overheads in current designs, as well as offer hardware and thus more efficient support for important functionality </w:t>
      </w:r>
      <w:r w:rsidR="00A15F76" w:rsidRPr="00282F09">
        <w:rPr>
          <w:rFonts w:ascii="Times New Roman" w:hAnsi="Times New Roman" w:cs="Times New Roman"/>
          <w:sz w:val="20"/>
          <w:szCs w:val="20"/>
        </w:rPr>
        <w:t>for</w:t>
      </w:r>
      <w:r w:rsidRPr="00282F09">
        <w:rPr>
          <w:rFonts w:ascii="Times New Roman" w:hAnsi="Times New Roman" w:cs="Times New Roman"/>
          <w:sz w:val="20"/>
          <w:szCs w:val="20"/>
        </w:rPr>
        <w:t xml:space="preserve"> security and resiliency. </w:t>
      </w:r>
    </w:p>
    <w:p w14:paraId="158930D6" w14:textId="77777777" w:rsidR="00E72EF5" w:rsidRPr="00282F09" w:rsidRDefault="00E72EF5" w:rsidP="00F712CA">
      <w:pPr>
        <w:pStyle w:val="ListParagraph"/>
        <w:numPr>
          <w:ilvl w:val="0"/>
          <w:numId w:val="3"/>
        </w:numPr>
        <w:jc w:val="both"/>
        <w:rPr>
          <w:rFonts w:ascii="Times New Roman" w:hAnsi="Times New Roman" w:cs="Times New Roman"/>
          <w:sz w:val="20"/>
          <w:szCs w:val="20"/>
        </w:rPr>
      </w:pPr>
      <w:r w:rsidRPr="00282F09">
        <w:rPr>
          <w:rFonts w:ascii="Times New Roman" w:hAnsi="Times New Roman" w:cs="Times New Roman"/>
          <w:sz w:val="20"/>
          <w:szCs w:val="20"/>
        </w:rPr>
        <w:t xml:space="preserve">The </w:t>
      </w:r>
      <w:r w:rsidRPr="00282F09">
        <w:rPr>
          <w:rFonts w:ascii="Times New Roman" w:hAnsi="Times New Roman" w:cs="Times New Roman"/>
          <w:b/>
          <w:i/>
          <w:sz w:val="20"/>
          <w:szCs w:val="20"/>
        </w:rPr>
        <w:t>Programming models</w:t>
      </w:r>
      <w:r w:rsidRPr="00282F09">
        <w:rPr>
          <w:rFonts w:ascii="Times New Roman" w:hAnsi="Times New Roman" w:cs="Times New Roman"/>
          <w:sz w:val="20"/>
          <w:szCs w:val="20"/>
        </w:rPr>
        <w:t xml:space="preserve"> thrust seeks to create new paradigms integrated with the new systems that define how application designers interact with the machine.  Existing programming models are designed with old architectures in mind.  New programming models and runtimes are necessary that both expose the fundamental changes in relative costs of each operation, as well as break abstraction barriers such that the heterogeneity of future machines can be both exposed and exploited.</w:t>
      </w:r>
    </w:p>
    <w:p w14:paraId="7CADB8FA" w14:textId="77777777" w:rsidR="00282F09" w:rsidRDefault="00282F09" w:rsidP="00F712CA">
      <w:pPr>
        <w:jc w:val="both"/>
        <w:rPr>
          <w:rFonts w:ascii="Times New Roman" w:hAnsi="Times New Roman" w:cs="Times New Roman"/>
          <w:sz w:val="20"/>
          <w:szCs w:val="20"/>
        </w:rPr>
      </w:pPr>
    </w:p>
    <w:p w14:paraId="51036592" w14:textId="1B891A21" w:rsidR="00282F09" w:rsidRPr="00282F09" w:rsidRDefault="004B1752" w:rsidP="00282F09">
      <w:pPr>
        <w:jc w:val="both"/>
        <w:rPr>
          <w:rFonts w:ascii="Times New Roman" w:hAnsi="Times New Roman" w:cs="Times New Roman"/>
          <w:sz w:val="20"/>
          <w:szCs w:val="20"/>
        </w:rPr>
      </w:pPr>
      <w:r w:rsidRPr="00282F09">
        <w:rPr>
          <w:rFonts w:ascii="Times New Roman" w:hAnsi="Times New Roman" w:cs="Times New Roman"/>
          <w:sz w:val="20"/>
          <w:szCs w:val="20"/>
        </w:rPr>
        <w:t>We envision a significant fundamental Materials discovery compone</w:t>
      </w:r>
      <w:r w:rsidR="00593725" w:rsidRPr="00282F09">
        <w:rPr>
          <w:rFonts w:ascii="Times New Roman" w:hAnsi="Times New Roman" w:cs="Times New Roman"/>
          <w:sz w:val="20"/>
          <w:szCs w:val="20"/>
        </w:rPr>
        <w:t xml:space="preserve">nt, guided by the “Grand Challenges in </w:t>
      </w:r>
      <w:r w:rsidR="00B509FA" w:rsidRPr="00282F09">
        <w:rPr>
          <w:rFonts w:ascii="Times New Roman" w:hAnsi="Times New Roman" w:cs="Times New Roman"/>
          <w:sz w:val="20"/>
          <w:szCs w:val="20"/>
        </w:rPr>
        <w:t>Directing</w:t>
      </w:r>
      <w:r w:rsidR="00593725" w:rsidRPr="00282F09">
        <w:rPr>
          <w:rFonts w:ascii="Times New Roman" w:hAnsi="Times New Roman" w:cs="Times New Roman"/>
          <w:sz w:val="20"/>
          <w:szCs w:val="20"/>
        </w:rPr>
        <w:t xml:space="preserve"> Matter and Energy” </w:t>
      </w:r>
      <w:r w:rsidR="005D0783" w:rsidRPr="00282F09">
        <w:rPr>
          <w:rFonts w:ascii="Times New Roman" w:hAnsi="Times New Roman" w:cs="Times New Roman"/>
          <w:sz w:val="20"/>
          <w:szCs w:val="20"/>
        </w:rPr>
        <w:t xml:space="preserve">that will drive the program. </w:t>
      </w:r>
      <w:r w:rsidR="0024780A" w:rsidRPr="00282F09">
        <w:rPr>
          <w:rFonts w:ascii="Times New Roman" w:hAnsi="Times New Roman" w:cs="Times New Roman"/>
          <w:sz w:val="20"/>
          <w:szCs w:val="20"/>
        </w:rPr>
        <w:t xml:space="preserve">This </w:t>
      </w:r>
      <w:r w:rsidR="005D0783" w:rsidRPr="00282F09">
        <w:rPr>
          <w:rFonts w:ascii="Times New Roman" w:hAnsi="Times New Roman" w:cs="Times New Roman"/>
          <w:sz w:val="20"/>
          <w:szCs w:val="20"/>
        </w:rPr>
        <w:t xml:space="preserve">is </w:t>
      </w:r>
      <w:r w:rsidR="00B509FA" w:rsidRPr="00282F09">
        <w:rPr>
          <w:rFonts w:ascii="Times New Roman" w:hAnsi="Times New Roman" w:cs="Times New Roman"/>
          <w:sz w:val="20"/>
          <w:szCs w:val="20"/>
        </w:rPr>
        <w:t>expected</w:t>
      </w:r>
      <w:r w:rsidR="005D0783" w:rsidRPr="00282F09">
        <w:rPr>
          <w:rFonts w:ascii="Times New Roman" w:hAnsi="Times New Roman" w:cs="Times New Roman"/>
          <w:sz w:val="20"/>
          <w:szCs w:val="20"/>
        </w:rPr>
        <w:t xml:space="preserve"> to extensively</w:t>
      </w:r>
      <w:r w:rsidRPr="00282F09">
        <w:rPr>
          <w:rFonts w:ascii="Times New Roman" w:hAnsi="Times New Roman" w:cs="Times New Roman"/>
          <w:sz w:val="20"/>
          <w:szCs w:val="20"/>
        </w:rPr>
        <w:t xml:space="preserve"> utilize BES capabilities including user facilities such as the </w:t>
      </w:r>
      <w:proofErr w:type="spellStart"/>
      <w:r w:rsidR="00260039" w:rsidRPr="00282F09">
        <w:rPr>
          <w:rFonts w:ascii="Times New Roman" w:hAnsi="Times New Roman" w:cs="Times New Roman"/>
          <w:sz w:val="20"/>
          <w:szCs w:val="20"/>
        </w:rPr>
        <w:t>n</w:t>
      </w:r>
      <w:r w:rsidR="005D0783" w:rsidRPr="00282F09">
        <w:rPr>
          <w:rFonts w:ascii="Times New Roman" w:hAnsi="Times New Roman" w:cs="Times New Roman"/>
          <w:sz w:val="20"/>
          <w:szCs w:val="20"/>
        </w:rPr>
        <w:t>anocenters</w:t>
      </w:r>
      <w:proofErr w:type="spellEnd"/>
      <w:r w:rsidR="005D0783" w:rsidRPr="00282F09">
        <w:rPr>
          <w:rFonts w:ascii="Times New Roman" w:hAnsi="Times New Roman" w:cs="Times New Roman"/>
          <w:sz w:val="20"/>
          <w:szCs w:val="20"/>
        </w:rPr>
        <w:t xml:space="preserve">, synchrotron, electron and neutron facilities, </w:t>
      </w:r>
      <w:r w:rsidR="004402F8" w:rsidRPr="00282F09">
        <w:rPr>
          <w:rFonts w:ascii="Times New Roman" w:hAnsi="Times New Roman" w:cs="Times New Roman"/>
          <w:sz w:val="20"/>
          <w:szCs w:val="20"/>
        </w:rPr>
        <w:t xml:space="preserve">and the network of supercomputing facilities. </w:t>
      </w:r>
      <w:r w:rsidR="00041EB2" w:rsidRPr="00282F09">
        <w:rPr>
          <w:rFonts w:ascii="Times New Roman" w:hAnsi="Times New Roman" w:cs="Times New Roman"/>
          <w:sz w:val="20"/>
          <w:szCs w:val="20"/>
        </w:rPr>
        <w:t>ASCR provides capabilities in advanced computing facilities, applied mathematics (new algorithms), data processing (to support materials search), programming models and system architecture.</w:t>
      </w:r>
      <w:r w:rsidR="00282F09" w:rsidRPr="00282F09">
        <w:rPr>
          <w:rFonts w:ascii="Times New Roman" w:hAnsi="Times New Roman" w:cs="Times New Roman"/>
          <w:sz w:val="20"/>
          <w:szCs w:val="20"/>
        </w:rPr>
        <w:t xml:space="preserve">  This project also leverages</w:t>
      </w:r>
      <w:r w:rsidR="00282F09" w:rsidRPr="00282F09">
        <w:rPr>
          <w:rFonts w:ascii="Times New Roman" w:hAnsi="Times New Roman" w:cs="Times New Roman"/>
          <w:sz w:val="20"/>
          <w:szCs w:val="20"/>
        </w:rPr>
        <w:t xml:space="preserve"> NNSA’s microelectronics expertise and advanced computing capabilities.</w:t>
      </w:r>
      <w:r w:rsidR="00282F09" w:rsidRPr="00282F09">
        <w:rPr>
          <w:rFonts w:ascii="Times New Roman" w:hAnsi="Times New Roman" w:cs="Times New Roman"/>
          <w:sz w:val="20"/>
          <w:szCs w:val="20"/>
        </w:rPr>
        <w:t xml:space="preserve">  EERE will demonstrate how low</w:t>
      </w:r>
      <w:r w:rsidR="00282F09" w:rsidRPr="00282F09">
        <w:rPr>
          <w:rFonts w:ascii="Times New Roman" w:hAnsi="Times New Roman" w:cs="Times New Roman"/>
          <w:sz w:val="20"/>
          <w:szCs w:val="20"/>
        </w:rPr>
        <w:t xml:space="preserve"> power computing can be extended to other platforms, vastly reducing the nations computing power consumption.  Advanced manufacturing capabilities will be developed in the U.S. and provide high tech jobs. Semiconductor manufacturing in the U.S currently employs 250,000 skilled workers domestically and more than 1 million domestic jobs through associated activities.</w:t>
      </w:r>
    </w:p>
    <w:p w14:paraId="0D8F6431" w14:textId="77777777" w:rsidR="00282F09" w:rsidRPr="00282F09" w:rsidRDefault="00282F09" w:rsidP="00F712CA">
      <w:pPr>
        <w:jc w:val="both"/>
        <w:rPr>
          <w:rFonts w:ascii="Times New Roman" w:hAnsi="Times New Roman" w:cs="Times New Roman"/>
          <w:sz w:val="20"/>
          <w:szCs w:val="20"/>
        </w:rPr>
      </w:pPr>
    </w:p>
    <w:p w14:paraId="42C80A4F" w14:textId="75BC1B82" w:rsidR="00C169B5" w:rsidRPr="00282F09" w:rsidRDefault="008D5AE6" w:rsidP="00F712CA">
      <w:pPr>
        <w:jc w:val="both"/>
        <w:rPr>
          <w:rFonts w:ascii="Times New Roman" w:hAnsi="Times New Roman" w:cs="Times New Roman"/>
          <w:sz w:val="20"/>
          <w:szCs w:val="20"/>
        </w:rPr>
      </w:pPr>
      <w:r w:rsidRPr="00282F09">
        <w:rPr>
          <w:rFonts w:ascii="Times New Roman" w:hAnsi="Times New Roman" w:cs="Times New Roman"/>
          <w:sz w:val="20"/>
          <w:szCs w:val="20"/>
        </w:rPr>
        <w:t>Within 10 years, we will invent new energy efficient electronics materials systems, devices, manufacturing systems, and architectures to continue exponential technology scaling of digital electronics performance and energy efficiency beyond 2035-2040.</w:t>
      </w:r>
      <w:bookmarkStart w:id="0" w:name="_GoBack"/>
      <w:bookmarkEnd w:id="0"/>
    </w:p>
    <w:sectPr w:rsidR="00C169B5" w:rsidRPr="00282F09" w:rsidSect="00B0745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5EEA6" w14:textId="77777777" w:rsidR="009D7C54" w:rsidRDefault="009D7C54" w:rsidP="00C232B0">
      <w:pPr>
        <w:spacing w:line="240" w:lineRule="auto"/>
      </w:pPr>
      <w:r>
        <w:separator/>
      </w:r>
    </w:p>
  </w:endnote>
  <w:endnote w:type="continuationSeparator" w:id="0">
    <w:p w14:paraId="28063196" w14:textId="77777777" w:rsidR="009D7C54" w:rsidRDefault="009D7C54" w:rsidP="00C23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DE32" w14:textId="61421DC6" w:rsidR="0069621B" w:rsidRDefault="0069621B" w:rsidP="0069621B">
    <w:pPr>
      <w:pStyle w:val="Footer"/>
      <w:jc w:val="center"/>
    </w:pPr>
    <w:r>
      <w:rPr>
        <w:rFonts w:ascii="Helvetica" w:hAnsi="Helvetica" w:cs="Helvetica"/>
        <w:noProof/>
        <w:sz w:val="24"/>
        <w:szCs w:val="24"/>
      </w:rPr>
      <w:drawing>
        <wp:inline distT="0" distB="0" distL="0" distR="0" wp14:anchorId="1C1F7D22" wp14:editId="6AA38003">
          <wp:extent cx="4536729" cy="760628"/>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1647" cy="76145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8ED09" w14:textId="77777777" w:rsidR="009D7C54" w:rsidRDefault="009D7C54" w:rsidP="00C232B0">
      <w:pPr>
        <w:spacing w:line="240" w:lineRule="auto"/>
      </w:pPr>
      <w:r>
        <w:separator/>
      </w:r>
    </w:p>
  </w:footnote>
  <w:footnote w:type="continuationSeparator" w:id="0">
    <w:p w14:paraId="253F0378" w14:textId="77777777" w:rsidR="009D7C54" w:rsidRDefault="009D7C54" w:rsidP="00C232B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001"/>
    <w:multiLevelType w:val="hybridMultilevel"/>
    <w:tmpl w:val="16B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B08D0"/>
    <w:multiLevelType w:val="hybridMultilevel"/>
    <w:tmpl w:val="D122B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086597"/>
    <w:multiLevelType w:val="hybridMultilevel"/>
    <w:tmpl w:val="919A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ED"/>
    <w:rsid w:val="0001278B"/>
    <w:rsid w:val="000178CE"/>
    <w:rsid w:val="0003353D"/>
    <w:rsid w:val="00041EB2"/>
    <w:rsid w:val="00061A08"/>
    <w:rsid w:val="0007358E"/>
    <w:rsid w:val="00074042"/>
    <w:rsid w:val="000746E8"/>
    <w:rsid w:val="000872A7"/>
    <w:rsid w:val="00096ECD"/>
    <w:rsid w:val="00104B36"/>
    <w:rsid w:val="00110AE8"/>
    <w:rsid w:val="0014168B"/>
    <w:rsid w:val="00146101"/>
    <w:rsid w:val="001515D6"/>
    <w:rsid w:val="001D2F4E"/>
    <w:rsid w:val="00220340"/>
    <w:rsid w:val="0024780A"/>
    <w:rsid w:val="00250103"/>
    <w:rsid w:val="00260039"/>
    <w:rsid w:val="00275AF7"/>
    <w:rsid w:val="00280226"/>
    <w:rsid w:val="00282F09"/>
    <w:rsid w:val="002D3BA6"/>
    <w:rsid w:val="002E445E"/>
    <w:rsid w:val="002F1E35"/>
    <w:rsid w:val="00313364"/>
    <w:rsid w:val="00336D2D"/>
    <w:rsid w:val="0034292E"/>
    <w:rsid w:val="003470F0"/>
    <w:rsid w:val="003665E7"/>
    <w:rsid w:val="003749D8"/>
    <w:rsid w:val="0038718D"/>
    <w:rsid w:val="003A0AD9"/>
    <w:rsid w:val="003B26E4"/>
    <w:rsid w:val="003E0116"/>
    <w:rsid w:val="0040179E"/>
    <w:rsid w:val="004402F8"/>
    <w:rsid w:val="00447A66"/>
    <w:rsid w:val="00464104"/>
    <w:rsid w:val="004679CF"/>
    <w:rsid w:val="004756A9"/>
    <w:rsid w:val="00483FA1"/>
    <w:rsid w:val="004A56E7"/>
    <w:rsid w:val="004B1752"/>
    <w:rsid w:val="004D3C1C"/>
    <w:rsid w:val="004E5909"/>
    <w:rsid w:val="004F1419"/>
    <w:rsid w:val="004F7600"/>
    <w:rsid w:val="00501D83"/>
    <w:rsid w:val="0054353E"/>
    <w:rsid w:val="0054617A"/>
    <w:rsid w:val="00546C11"/>
    <w:rsid w:val="005826CC"/>
    <w:rsid w:val="00582F50"/>
    <w:rsid w:val="00593725"/>
    <w:rsid w:val="005A5B45"/>
    <w:rsid w:val="005C233F"/>
    <w:rsid w:val="005D0783"/>
    <w:rsid w:val="005E4B04"/>
    <w:rsid w:val="005F29A2"/>
    <w:rsid w:val="0061036B"/>
    <w:rsid w:val="006133B9"/>
    <w:rsid w:val="0061493E"/>
    <w:rsid w:val="00631846"/>
    <w:rsid w:val="006344B8"/>
    <w:rsid w:val="006420F7"/>
    <w:rsid w:val="00650B6A"/>
    <w:rsid w:val="00673EED"/>
    <w:rsid w:val="00680441"/>
    <w:rsid w:val="00681BA4"/>
    <w:rsid w:val="00683859"/>
    <w:rsid w:val="0069621B"/>
    <w:rsid w:val="006A4108"/>
    <w:rsid w:val="006B27DA"/>
    <w:rsid w:val="006C0621"/>
    <w:rsid w:val="006E12EA"/>
    <w:rsid w:val="006E4A8A"/>
    <w:rsid w:val="00705D69"/>
    <w:rsid w:val="00722531"/>
    <w:rsid w:val="0075782E"/>
    <w:rsid w:val="00765D48"/>
    <w:rsid w:val="00795B62"/>
    <w:rsid w:val="007A0CA6"/>
    <w:rsid w:val="007B0C14"/>
    <w:rsid w:val="007E7C48"/>
    <w:rsid w:val="0080502B"/>
    <w:rsid w:val="008101D9"/>
    <w:rsid w:val="008612CB"/>
    <w:rsid w:val="008D5AE6"/>
    <w:rsid w:val="008F5F6A"/>
    <w:rsid w:val="00903213"/>
    <w:rsid w:val="00920703"/>
    <w:rsid w:val="00941820"/>
    <w:rsid w:val="009438F3"/>
    <w:rsid w:val="00947097"/>
    <w:rsid w:val="009C3722"/>
    <w:rsid w:val="009C4B16"/>
    <w:rsid w:val="009D108A"/>
    <w:rsid w:val="009D25B0"/>
    <w:rsid w:val="009D7C54"/>
    <w:rsid w:val="009E5610"/>
    <w:rsid w:val="009F1DAE"/>
    <w:rsid w:val="00A0070E"/>
    <w:rsid w:val="00A06899"/>
    <w:rsid w:val="00A15F76"/>
    <w:rsid w:val="00A44EAB"/>
    <w:rsid w:val="00A632D7"/>
    <w:rsid w:val="00A667AD"/>
    <w:rsid w:val="00AF5705"/>
    <w:rsid w:val="00AF7AAB"/>
    <w:rsid w:val="00B07451"/>
    <w:rsid w:val="00B253E4"/>
    <w:rsid w:val="00B464C5"/>
    <w:rsid w:val="00B509FA"/>
    <w:rsid w:val="00B6293E"/>
    <w:rsid w:val="00B6707B"/>
    <w:rsid w:val="00B70B73"/>
    <w:rsid w:val="00B74BC2"/>
    <w:rsid w:val="00B757ED"/>
    <w:rsid w:val="00BB408A"/>
    <w:rsid w:val="00BD1798"/>
    <w:rsid w:val="00C169B5"/>
    <w:rsid w:val="00C232B0"/>
    <w:rsid w:val="00C60B55"/>
    <w:rsid w:val="00C64E2E"/>
    <w:rsid w:val="00CA032C"/>
    <w:rsid w:val="00CD43DC"/>
    <w:rsid w:val="00D102A0"/>
    <w:rsid w:val="00D13C85"/>
    <w:rsid w:val="00D2721F"/>
    <w:rsid w:val="00D33485"/>
    <w:rsid w:val="00D958BB"/>
    <w:rsid w:val="00DB0EF8"/>
    <w:rsid w:val="00DC4187"/>
    <w:rsid w:val="00DD768E"/>
    <w:rsid w:val="00E07612"/>
    <w:rsid w:val="00E513F5"/>
    <w:rsid w:val="00E569ED"/>
    <w:rsid w:val="00E62122"/>
    <w:rsid w:val="00E72EF5"/>
    <w:rsid w:val="00E816C9"/>
    <w:rsid w:val="00E84CD6"/>
    <w:rsid w:val="00E8542B"/>
    <w:rsid w:val="00E877AD"/>
    <w:rsid w:val="00E90059"/>
    <w:rsid w:val="00EC4E49"/>
    <w:rsid w:val="00EC7931"/>
    <w:rsid w:val="00EF451A"/>
    <w:rsid w:val="00F031F7"/>
    <w:rsid w:val="00F43121"/>
    <w:rsid w:val="00F712CA"/>
    <w:rsid w:val="00F81AB9"/>
    <w:rsid w:val="00F953D1"/>
    <w:rsid w:val="00FB3C4C"/>
    <w:rsid w:val="00FB42FF"/>
    <w:rsid w:val="00FF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8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6"/>
    <w:rPr>
      <w:rFonts w:ascii="Tahoma" w:hAnsi="Tahoma" w:cs="Tahoma"/>
      <w:sz w:val="16"/>
      <w:szCs w:val="16"/>
    </w:rPr>
  </w:style>
  <w:style w:type="paragraph" w:styleId="ListParagraph">
    <w:name w:val="List Paragraph"/>
    <w:basedOn w:val="Normal"/>
    <w:uiPriority w:val="34"/>
    <w:qFormat/>
    <w:rsid w:val="00447A66"/>
    <w:pPr>
      <w:ind w:left="720"/>
      <w:contextualSpacing/>
    </w:pPr>
  </w:style>
  <w:style w:type="paragraph" w:styleId="Caption">
    <w:name w:val="caption"/>
    <w:basedOn w:val="Normal"/>
    <w:next w:val="Normal"/>
    <w:uiPriority w:val="35"/>
    <w:unhideWhenUsed/>
    <w:qFormat/>
    <w:rsid w:val="006133B9"/>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C232B0"/>
    <w:pPr>
      <w:spacing w:line="240" w:lineRule="auto"/>
    </w:pPr>
    <w:rPr>
      <w:rFonts w:ascii="Times New Roman" w:eastAsiaTheme="minorHAnsi" w:hAnsi="Times New Roman"/>
      <w:sz w:val="24"/>
      <w:szCs w:val="24"/>
    </w:rPr>
  </w:style>
  <w:style w:type="character" w:customStyle="1" w:styleId="FootnoteTextChar">
    <w:name w:val="Footnote Text Char"/>
    <w:basedOn w:val="DefaultParagraphFont"/>
    <w:link w:val="FootnoteText"/>
    <w:uiPriority w:val="99"/>
    <w:rsid w:val="00C232B0"/>
    <w:rPr>
      <w:rFonts w:ascii="Times New Roman" w:eastAsiaTheme="minorHAnsi" w:hAnsi="Times New Roman"/>
      <w:sz w:val="24"/>
      <w:szCs w:val="24"/>
    </w:rPr>
  </w:style>
  <w:style w:type="character" w:styleId="FootnoteReference">
    <w:name w:val="footnote reference"/>
    <w:basedOn w:val="DefaultParagraphFont"/>
    <w:uiPriority w:val="99"/>
    <w:unhideWhenUsed/>
    <w:rsid w:val="00C232B0"/>
    <w:rPr>
      <w:vertAlign w:val="superscript"/>
    </w:rPr>
  </w:style>
  <w:style w:type="character" w:styleId="Hyperlink">
    <w:name w:val="Hyperlink"/>
    <w:basedOn w:val="DefaultParagraphFont"/>
    <w:uiPriority w:val="99"/>
    <w:unhideWhenUsed/>
    <w:rsid w:val="00F43121"/>
    <w:rPr>
      <w:color w:val="0000FF" w:themeColor="hyperlink"/>
      <w:u w:val="single"/>
    </w:rPr>
  </w:style>
  <w:style w:type="paragraph" w:styleId="Header">
    <w:name w:val="header"/>
    <w:basedOn w:val="Normal"/>
    <w:link w:val="HeaderChar"/>
    <w:uiPriority w:val="99"/>
    <w:unhideWhenUsed/>
    <w:rsid w:val="0069621B"/>
    <w:pPr>
      <w:tabs>
        <w:tab w:val="center" w:pos="4320"/>
        <w:tab w:val="right" w:pos="8640"/>
      </w:tabs>
      <w:spacing w:line="240" w:lineRule="auto"/>
    </w:pPr>
  </w:style>
  <w:style w:type="character" w:customStyle="1" w:styleId="HeaderChar">
    <w:name w:val="Header Char"/>
    <w:basedOn w:val="DefaultParagraphFont"/>
    <w:link w:val="Header"/>
    <w:uiPriority w:val="99"/>
    <w:rsid w:val="0069621B"/>
  </w:style>
  <w:style w:type="paragraph" w:styleId="Footer">
    <w:name w:val="footer"/>
    <w:basedOn w:val="Normal"/>
    <w:link w:val="FooterChar"/>
    <w:uiPriority w:val="99"/>
    <w:unhideWhenUsed/>
    <w:rsid w:val="0069621B"/>
    <w:pPr>
      <w:tabs>
        <w:tab w:val="center" w:pos="4320"/>
        <w:tab w:val="right" w:pos="8640"/>
      </w:tabs>
      <w:spacing w:line="240" w:lineRule="auto"/>
    </w:pPr>
  </w:style>
  <w:style w:type="character" w:customStyle="1" w:styleId="FooterChar">
    <w:name w:val="Footer Char"/>
    <w:basedOn w:val="DefaultParagraphFont"/>
    <w:link w:val="Footer"/>
    <w:uiPriority w:val="99"/>
    <w:rsid w:val="006962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8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6"/>
    <w:rPr>
      <w:rFonts w:ascii="Tahoma" w:hAnsi="Tahoma" w:cs="Tahoma"/>
      <w:sz w:val="16"/>
      <w:szCs w:val="16"/>
    </w:rPr>
  </w:style>
  <w:style w:type="paragraph" w:styleId="ListParagraph">
    <w:name w:val="List Paragraph"/>
    <w:basedOn w:val="Normal"/>
    <w:uiPriority w:val="34"/>
    <w:qFormat/>
    <w:rsid w:val="00447A66"/>
    <w:pPr>
      <w:ind w:left="720"/>
      <w:contextualSpacing/>
    </w:pPr>
  </w:style>
  <w:style w:type="paragraph" w:styleId="Caption">
    <w:name w:val="caption"/>
    <w:basedOn w:val="Normal"/>
    <w:next w:val="Normal"/>
    <w:uiPriority w:val="35"/>
    <w:unhideWhenUsed/>
    <w:qFormat/>
    <w:rsid w:val="006133B9"/>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C232B0"/>
    <w:pPr>
      <w:spacing w:line="240" w:lineRule="auto"/>
    </w:pPr>
    <w:rPr>
      <w:rFonts w:ascii="Times New Roman" w:eastAsiaTheme="minorHAnsi" w:hAnsi="Times New Roman"/>
      <w:sz w:val="24"/>
      <w:szCs w:val="24"/>
    </w:rPr>
  </w:style>
  <w:style w:type="character" w:customStyle="1" w:styleId="FootnoteTextChar">
    <w:name w:val="Footnote Text Char"/>
    <w:basedOn w:val="DefaultParagraphFont"/>
    <w:link w:val="FootnoteText"/>
    <w:uiPriority w:val="99"/>
    <w:rsid w:val="00C232B0"/>
    <w:rPr>
      <w:rFonts w:ascii="Times New Roman" w:eastAsiaTheme="minorHAnsi" w:hAnsi="Times New Roman"/>
      <w:sz w:val="24"/>
      <w:szCs w:val="24"/>
    </w:rPr>
  </w:style>
  <w:style w:type="character" w:styleId="FootnoteReference">
    <w:name w:val="footnote reference"/>
    <w:basedOn w:val="DefaultParagraphFont"/>
    <w:uiPriority w:val="99"/>
    <w:unhideWhenUsed/>
    <w:rsid w:val="00C232B0"/>
    <w:rPr>
      <w:vertAlign w:val="superscript"/>
    </w:rPr>
  </w:style>
  <w:style w:type="character" w:styleId="Hyperlink">
    <w:name w:val="Hyperlink"/>
    <w:basedOn w:val="DefaultParagraphFont"/>
    <w:uiPriority w:val="99"/>
    <w:unhideWhenUsed/>
    <w:rsid w:val="00F43121"/>
    <w:rPr>
      <w:color w:val="0000FF" w:themeColor="hyperlink"/>
      <w:u w:val="single"/>
    </w:rPr>
  </w:style>
  <w:style w:type="paragraph" w:styleId="Header">
    <w:name w:val="header"/>
    <w:basedOn w:val="Normal"/>
    <w:link w:val="HeaderChar"/>
    <w:uiPriority w:val="99"/>
    <w:unhideWhenUsed/>
    <w:rsid w:val="0069621B"/>
    <w:pPr>
      <w:tabs>
        <w:tab w:val="center" w:pos="4320"/>
        <w:tab w:val="right" w:pos="8640"/>
      </w:tabs>
      <w:spacing w:line="240" w:lineRule="auto"/>
    </w:pPr>
  </w:style>
  <w:style w:type="character" w:customStyle="1" w:styleId="HeaderChar">
    <w:name w:val="Header Char"/>
    <w:basedOn w:val="DefaultParagraphFont"/>
    <w:link w:val="Header"/>
    <w:uiPriority w:val="99"/>
    <w:rsid w:val="0069621B"/>
  </w:style>
  <w:style w:type="paragraph" w:styleId="Footer">
    <w:name w:val="footer"/>
    <w:basedOn w:val="Normal"/>
    <w:link w:val="FooterChar"/>
    <w:uiPriority w:val="99"/>
    <w:unhideWhenUsed/>
    <w:rsid w:val="0069621B"/>
    <w:pPr>
      <w:tabs>
        <w:tab w:val="center" w:pos="4320"/>
        <w:tab w:val="right" w:pos="8640"/>
      </w:tabs>
      <w:spacing w:line="240" w:lineRule="auto"/>
    </w:pPr>
  </w:style>
  <w:style w:type="character" w:customStyle="1" w:styleId="FooterChar">
    <w:name w:val="Footer Char"/>
    <w:basedOn w:val="DefaultParagraphFont"/>
    <w:link w:val="Footer"/>
    <w:uiPriority w:val="99"/>
    <w:rsid w:val="0069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chart" Target="charts/chart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liancetrustinvestments.com/sri-hub/posts/Energy-efficient-data-centres" TargetMode="External"/><Relationship Id="rId10" Type="http://schemas.openxmlformats.org/officeDocument/2006/relationships/hyperlink" Target="http://www.alliancetrustinvestments.com/sri-hub/posts/Energy-efficient-data-cent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775903266674"/>
          <c:y val="0.0606598133566637"/>
          <c:w val="0.700276793303078"/>
          <c:h val="0.680888672101828"/>
        </c:manualLayout>
      </c:layout>
      <c:lineChart>
        <c:grouping val="standard"/>
        <c:varyColors val="0"/>
        <c:dLbls>
          <c:showLegendKey val="0"/>
          <c:showVal val="0"/>
          <c:showCatName val="0"/>
          <c:showSerName val="0"/>
          <c:showPercent val="0"/>
          <c:showBubbleSize val="0"/>
        </c:dLbls>
        <c:marker val="1"/>
        <c:smooth val="0"/>
        <c:axId val="-2096158440"/>
        <c:axId val="-2096155240"/>
      </c:lineChart>
      <c:catAx>
        <c:axId val="-2096158440"/>
        <c:scaling>
          <c:orientation val="minMax"/>
        </c:scaling>
        <c:delete val="1"/>
        <c:axPos val="b"/>
        <c:numFmt formatCode="General" sourceLinked="1"/>
        <c:majorTickMark val="out"/>
        <c:minorTickMark val="none"/>
        <c:tickLblPos val="nextTo"/>
        <c:crossAx val="-2096155240"/>
        <c:crosses val="autoZero"/>
        <c:auto val="1"/>
        <c:lblAlgn val="ctr"/>
        <c:lblOffset val="100"/>
        <c:noMultiLvlLbl val="0"/>
      </c:catAx>
      <c:valAx>
        <c:axId val="-2096155240"/>
        <c:scaling>
          <c:orientation val="minMax"/>
        </c:scaling>
        <c:delete val="1"/>
        <c:axPos val="l"/>
        <c:numFmt formatCode="General" sourceLinked="1"/>
        <c:majorTickMark val="out"/>
        <c:minorTickMark val="none"/>
        <c:tickLblPos val="nextTo"/>
        <c:crossAx val="-2096158440"/>
        <c:crosses val="autoZero"/>
        <c:crossBetween val="between"/>
      </c:valAx>
      <c:spPr>
        <a:noFill/>
        <a:ln w="25400">
          <a:noFill/>
        </a:ln>
      </c:spPr>
    </c:plotArea>
    <c:plotVisOnly val="1"/>
    <c:dispBlanksAs val="gap"/>
    <c:showDLblsOverMax val="0"/>
  </c:chart>
  <c:spPr>
    <a:ln>
      <a:noFill/>
    </a:ln>
  </c:spPr>
  <c:txPr>
    <a:bodyPr/>
    <a:lstStyle/>
    <a:p>
      <a:pPr>
        <a:defRPr sz="1050"/>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8400" y="3251200"/>
          <a:ext cx="5029200" cy="30099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A475-023E-0C4A-B530-DE068994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1334</Words>
  <Characters>7606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Matthew</dc:creator>
  <cp:lastModifiedBy>John Shalf</cp:lastModifiedBy>
  <cp:revision>4</cp:revision>
  <cp:lastPrinted>2016-04-13T18:48:00Z</cp:lastPrinted>
  <dcterms:created xsi:type="dcterms:W3CDTF">2016-07-13T22:37:00Z</dcterms:created>
  <dcterms:modified xsi:type="dcterms:W3CDTF">2016-07-13T22:42:00Z</dcterms:modified>
</cp:coreProperties>
</file>